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C7A662" w14:textId="60FF9469" w:rsidR="00400F7D" w:rsidRDefault="00CC3FFD" w:rsidP="00870B72">
      <w:pPr>
        <w:pStyle w:val="Balk1"/>
        <w:spacing w:before="42"/>
        <w:ind w:left="0" w:firstLine="988"/>
        <w:jc w:val="center"/>
        <w:rPr>
          <w:rFonts w:ascii="Times New Roman" w:hAnsi="Times New Roman" w:cs="Times New Roman"/>
          <w:sz w:val="24"/>
          <w:szCs w:val="24"/>
        </w:rPr>
      </w:pPr>
      <w:r w:rsidRPr="00FD11FB">
        <w:rPr>
          <w:rFonts w:ascii="Times New Roman" w:hAnsi="Times New Roman" w:cs="Times New Roman"/>
          <w:sz w:val="24"/>
          <w:szCs w:val="24"/>
        </w:rPr>
        <w:t>ANTALYA BELEK ÜNİVERSİTESİ MUAFİYET VE İNTİBAK İŞLEMLERİ YÖNERGESİ</w:t>
      </w:r>
    </w:p>
    <w:p w14:paraId="5E48984D" w14:textId="77777777" w:rsidR="00400F7D" w:rsidRPr="00FD11FB" w:rsidRDefault="00400F7D" w:rsidP="00400F7D">
      <w:pPr>
        <w:pStyle w:val="Balk1"/>
        <w:spacing w:before="42"/>
        <w:ind w:left="0"/>
        <w:rPr>
          <w:rFonts w:ascii="Times New Roman" w:hAnsi="Times New Roman" w:cs="Times New Roman"/>
          <w:sz w:val="24"/>
          <w:szCs w:val="24"/>
        </w:rPr>
      </w:pPr>
    </w:p>
    <w:p w14:paraId="73FDA145" w14:textId="77777777" w:rsidR="00870B72" w:rsidRPr="00536A6B" w:rsidRDefault="00870B72" w:rsidP="00870B72">
      <w:pPr>
        <w:pStyle w:val="ListeParagraf"/>
        <w:ind w:left="-567" w:firstLine="567"/>
        <w:jc w:val="center"/>
        <w:rPr>
          <w:rFonts w:ascii="Times New Roman" w:hAnsi="Times New Roman" w:cs="Times New Roman"/>
          <w:b/>
          <w:bCs/>
        </w:rPr>
      </w:pPr>
      <w:r w:rsidRPr="00536A6B">
        <w:rPr>
          <w:rFonts w:ascii="Times New Roman" w:hAnsi="Times New Roman" w:cs="Times New Roman"/>
          <w:b/>
          <w:bCs/>
        </w:rPr>
        <w:t>BİRİNCİ BÖLÜM</w:t>
      </w:r>
    </w:p>
    <w:p w14:paraId="6420C7AE" w14:textId="77777777" w:rsidR="00870B72" w:rsidRPr="00536A6B" w:rsidRDefault="00870B72" w:rsidP="00870B72">
      <w:pPr>
        <w:pStyle w:val="ListeParagraf"/>
        <w:ind w:left="-567" w:firstLine="567"/>
        <w:jc w:val="center"/>
        <w:rPr>
          <w:rFonts w:ascii="Times New Roman" w:hAnsi="Times New Roman" w:cs="Times New Roman"/>
          <w:b/>
          <w:bCs/>
        </w:rPr>
      </w:pPr>
      <w:r w:rsidRPr="00536A6B">
        <w:rPr>
          <w:rFonts w:ascii="Times New Roman" w:hAnsi="Times New Roman" w:cs="Times New Roman"/>
          <w:b/>
          <w:bCs/>
        </w:rPr>
        <w:t>Başlangıç Hükümleri</w:t>
      </w:r>
    </w:p>
    <w:p w14:paraId="5899428A" w14:textId="77777777" w:rsidR="00870B72" w:rsidRPr="00536A6B" w:rsidRDefault="00870B72" w:rsidP="00870B72">
      <w:pPr>
        <w:ind w:left="-567" w:firstLine="567"/>
        <w:jc w:val="both"/>
        <w:rPr>
          <w:rFonts w:ascii="Times New Roman" w:hAnsi="Times New Roman" w:cs="Times New Roman"/>
          <w:b/>
          <w:bCs/>
        </w:rPr>
      </w:pPr>
      <w:r w:rsidRPr="00536A6B">
        <w:rPr>
          <w:rFonts w:ascii="Times New Roman" w:hAnsi="Times New Roman" w:cs="Times New Roman"/>
          <w:b/>
          <w:bCs/>
        </w:rPr>
        <w:t>Amaç</w:t>
      </w:r>
    </w:p>
    <w:p w14:paraId="0A9A8A4B" w14:textId="77777777" w:rsidR="00870B72" w:rsidRPr="00536A6B" w:rsidRDefault="00870B72" w:rsidP="00870B72">
      <w:pPr>
        <w:ind w:left="-567" w:firstLine="567"/>
        <w:jc w:val="both"/>
        <w:rPr>
          <w:rFonts w:ascii="Times New Roman" w:hAnsi="Times New Roman" w:cs="Times New Roman"/>
        </w:rPr>
      </w:pPr>
      <w:r w:rsidRPr="00536A6B">
        <w:rPr>
          <w:rFonts w:ascii="Times New Roman" w:hAnsi="Times New Roman" w:cs="Times New Roman"/>
          <w:b/>
          <w:bCs/>
        </w:rPr>
        <w:t>MADDE 1</w:t>
      </w:r>
      <w:r w:rsidRPr="00536A6B">
        <w:rPr>
          <w:rFonts w:ascii="Times New Roman" w:hAnsi="Times New Roman" w:cs="Times New Roman"/>
        </w:rPr>
        <w:t>-(1) Bu Yönergenin amacı; Antalya Belek Üniversitesine kayıt yaptıran öğrencilerin, daha önce Antalya Belek Üniversitesi dahil olmak üzere herhangi bir yükseköğretim kurumundan alarak başarılı oldukları derslere ilişkin muafiyet ve yarıyıl/yıl intibakı esaslarını düzenlemektir.</w:t>
      </w:r>
    </w:p>
    <w:p w14:paraId="65B810C6" w14:textId="77777777" w:rsidR="00870B72" w:rsidRPr="00536A6B" w:rsidRDefault="00870B72" w:rsidP="00870B72">
      <w:pPr>
        <w:ind w:left="-567" w:firstLine="567"/>
        <w:jc w:val="both"/>
        <w:rPr>
          <w:rFonts w:ascii="Times New Roman" w:hAnsi="Times New Roman" w:cs="Times New Roman"/>
          <w:b/>
          <w:bCs/>
        </w:rPr>
      </w:pPr>
      <w:r w:rsidRPr="00536A6B">
        <w:rPr>
          <w:rFonts w:ascii="Times New Roman" w:hAnsi="Times New Roman" w:cs="Times New Roman"/>
          <w:b/>
          <w:bCs/>
        </w:rPr>
        <w:t>Kapsam</w:t>
      </w:r>
    </w:p>
    <w:p w14:paraId="6168583D" w14:textId="77777777" w:rsidR="00870B72" w:rsidRPr="00536A6B" w:rsidRDefault="00870B72" w:rsidP="00870B72">
      <w:pPr>
        <w:ind w:left="-567" w:firstLine="567"/>
        <w:jc w:val="both"/>
        <w:rPr>
          <w:rFonts w:ascii="Times New Roman" w:hAnsi="Times New Roman" w:cs="Times New Roman"/>
        </w:rPr>
      </w:pPr>
      <w:r w:rsidRPr="00536A6B">
        <w:rPr>
          <w:rFonts w:ascii="Times New Roman" w:hAnsi="Times New Roman" w:cs="Times New Roman"/>
          <w:b/>
          <w:bCs/>
        </w:rPr>
        <w:t>MADDE 2</w:t>
      </w:r>
      <w:r w:rsidRPr="00536A6B">
        <w:rPr>
          <w:rFonts w:ascii="Times New Roman" w:hAnsi="Times New Roman" w:cs="Times New Roman"/>
        </w:rPr>
        <w:t>- (1) Bu Yönerge Antalya Belek Üniversitesinde ön lisans ve lisans düzeyindeki programlar arasındaki kredi aktarımı ve intibak işlemlerine ilişkin hükümleri kapsar.</w:t>
      </w:r>
    </w:p>
    <w:p w14:paraId="7B0E13F8" w14:textId="77777777" w:rsidR="00870B72" w:rsidRPr="00536A6B" w:rsidRDefault="00870B72" w:rsidP="00870B72">
      <w:pPr>
        <w:ind w:left="-567" w:firstLine="567"/>
        <w:jc w:val="both"/>
        <w:rPr>
          <w:rFonts w:ascii="Times New Roman" w:hAnsi="Times New Roman" w:cs="Times New Roman"/>
        </w:rPr>
      </w:pPr>
      <w:r w:rsidRPr="00536A6B">
        <w:rPr>
          <w:rFonts w:ascii="Times New Roman" w:hAnsi="Times New Roman" w:cs="Times New Roman"/>
          <w:b/>
          <w:bCs/>
        </w:rPr>
        <w:t xml:space="preserve">Dayanak </w:t>
      </w:r>
    </w:p>
    <w:p w14:paraId="6620FBF1" w14:textId="77777777" w:rsidR="00870B72" w:rsidRPr="00536A6B" w:rsidRDefault="00870B72" w:rsidP="00870B72">
      <w:pPr>
        <w:ind w:left="-567" w:firstLine="567"/>
        <w:jc w:val="both"/>
        <w:rPr>
          <w:rFonts w:ascii="Times New Roman" w:hAnsi="Times New Roman" w:cs="Times New Roman"/>
        </w:rPr>
      </w:pPr>
      <w:r w:rsidRPr="00536A6B">
        <w:rPr>
          <w:rFonts w:ascii="Times New Roman" w:hAnsi="Times New Roman" w:cs="Times New Roman"/>
          <w:b/>
          <w:bCs/>
        </w:rPr>
        <w:t xml:space="preserve">MADDE 3 – </w:t>
      </w:r>
      <w:r w:rsidRPr="00536A6B">
        <w:rPr>
          <w:rFonts w:ascii="Times New Roman" w:hAnsi="Times New Roman" w:cs="Times New Roman"/>
        </w:rPr>
        <w:t>(1) Bu Yönerge, 2547 sayılı Yükseköğretim Kanununun 14’üncü maddesi, Yükseköğretim Kurumlarında Ön Lisans ve Lisans Düzeyindeki Programlar Arasında Geçiş, Çift Anadal, Yan Dal İle Kurumlar Arası Kredi Transferi Yapılması Esaslarına İlişkin Yönetmelik, Meslek Yüksekokulları ve Açık Öğretim Ön Lisans Programları Mezunlarının Lisans Öğrenimine Devamları Hakkında Yönetmelik ile Antalya Belek Üniversitesi Ön Lisans ve Lisans Eğitim-Öğretim ve Sınav Yönetmeliğine dayanılarak hazırlanmıştır.</w:t>
      </w:r>
    </w:p>
    <w:p w14:paraId="1A6E274B" w14:textId="77777777" w:rsidR="00870B72" w:rsidRPr="00536A6B" w:rsidRDefault="00870B72" w:rsidP="00870B72">
      <w:pPr>
        <w:ind w:left="-567" w:firstLine="567"/>
        <w:jc w:val="both"/>
        <w:rPr>
          <w:rFonts w:ascii="Times New Roman" w:hAnsi="Times New Roman" w:cs="Times New Roman"/>
          <w:b/>
          <w:bCs/>
        </w:rPr>
      </w:pPr>
      <w:r w:rsidRPr="00536A6B">
        <w:rPr>
          <w:rFonts w:ascii="Times New Roman" w:hAnsi="Times New Roman" w:cs="Times New Roman"/>
          <w:b/>
          <w:bCs/>
        </w:rPr>
        <w:t>Tanımlar</w:t>
      </w:r>
    </w:p>
    <w:p w14:paraId="0EE61A74" w14:textId="77777777" w:rsidR="00870B72" w:rsidRPr="00536A6B" w:rsidRDefault="00870B72" w:rsidP="00870B72">
      <w:pPr>
        <w:ind w:left="-567" w:firstLine="567"/>
        <w:jc w:val="both"/>
        <w:rPr>
          <w:rFonts w:ascii="Times New Roman" w:hAnsi="Times New Roman" w:cs="Times New Roman"/>
        </w:rPr>
      </w:pPr>
      <w:r w:rsidRPr="00536A6B">
        <w:rPr>
          <w:rFonts w:ascii="Times New Roman" w:hAnsi="Times New Roman" w:cs="Times New Roman"/>
          <w:b/>
          <w:bCs/>
        </w:rPr>
        <w:t>MADDE 4</w:t>
      </w:r>
      <w:r w:rsidRPr="00536A6B">
        <w:rPr>
          <w:rFonts w:ascii="Times New Roman" w:hAnsi="Times New Roman" w:cs="Times New Roman"/>
        </w:rPr>
        <w:t>- (1) Bu Yönergede geçen;</w:t>
      </w:r>
    </w:p>
    <w:p w14:paraId="2C917C14" w14:textId="77777777" w:rsidR="00870B72" w:rsidRPr="00536A6B" w:rsidRDefault="00870B72" w:rsidP="00870B72">
      <w:pPr>
        <w:pStyle w:val="ListeParagraf"/>
        <w:widowControl/>
        <w:numPr>
          <w:ilvl w:val="0"/>
          <w:numId w:val="7"/>
        </w:numPr>
        <w:autoSpaceDE/>
        <w:autoSpaceDN/>
        <w:spacing w:before="0" w:after="160"/>
        <w:contextualSpacing/>
        <w:rPr>
          <w:rFonts w:ascii="Times New Roman" w:hAnsi="Times New Roman" w:cs="Times New Roman"/>
        </w:rPr>
      </w:pPr>
      <w:r w:rsidRPr="00536A6B">
        <w:rPr>
          <w:rFonts w:ascii="Times New Roman" w:hAnsi="Times New Roman" w:cs="Times New Roman"/>
        </w:rPr>
        <w:t>Avrupa Kredi Transfer Sistemi (AKTS) kredisi: Öğrencinin bir dersi başarıyla tamamlayabilmesi için yapması gereken çalışmaların tamamını kapsayan ve öğrencilere kazandırılacak bilgi, beceri ve yetkinlikleri elde etmek için gerekli olan toplam iş yükünü temel alan sayısal değeri,</w:t>
      </w:r>
    </w:p>
    <w:p w14:paraId="6451DDFC" w14:textId="77777777" w:rsidR="00870B72" w:rsidRPr="00536A6B" w:rsidRDefault="00870B72" w:rsidP="00870B72">
      <w:pPr>
        <w:pStyle w:val="ListeParagraf"/>
        <w:widowControl/>
        <w:numPr>
          <w:ilvl w:val="0"/>
          <w:numId w:val="7"/>
        </w:numPr>
        <w:autoSpaceDE/>
        <w:autoSpaceDN/>
        <w:spacing w:before="0" w:after="160"/>
        <w:contextualSpacing/>
        <w:rPr>
          <w:rFonts w:ascii="Times New Roman" w:hAnsi="Times New Roman" w:cs="Times New Roman"/>
        </w:rPr>
      </w:pPr>
      <w:r w:rsidRPr="00536A6B">
        <w:rPr>
          <w:rFonts w:ascii="Times New Roman" w:hAnsi="Times New Roman" w:cs="Times New Roman"/>
        </w:rPr>
        <w:t>Alt birim: Birimler içinde faaliyet gösteren bölümü, anabilim/ana sanat dalını veya programı,</w:t>
      </w:r>
    </w:p>
    <w:p w14:paraId="33BDFAC4" w14:textId="77777777" w:rsidR="00870B72" w:rsidRPr="00536A6B" w:rsidRDefault="00870B72" w:rsidP="00870B72">
      <w:pPr>
        <w:pStyle w:val="ListeParagraf"/>
        <w:widowControl/>
        <w:numPr>
          <w:ilvl w:val="0"/>
          <w:numId w:val="7"/>
        </w:numPr>
        <w:autoSpaceDE/>
        <w:autoSpaceDN/>
        <w:spacing w:before="0" w:after="160"/>
        <w:contextualSpacing/>
        <w:rPr>
          <w:rFonts w:ascii="Times New Roman" w:hAnsi="Times New Roman" w:cs="Times New Roman"/>
        </w:rPr>
      </w:pPr>
      <w:r w:rsidRPr="00536A6B">
        <w:rPr>
          <w:rFonts w:ascii="Times New Roman" w:hAnsi="Times New Roman" w:cs="Times New Roman"/>
        </w:rPr>
        <w:t>Alt birim kurulu: Bölüm, anabilim/ana sanat dalı veya program kurulunu</w:t>
      </w:r>
    </w:p>
    <w:p w14:paraId="1A4A1276" w14:textId="77777777" w:rsidR="00870B72" w:rsidRPr="00536A6B" w:rsidRDefault="00870B72" w:rsidP="00870B72">
      <w:pPr>
        <w:pStyle w:val="ListeParagraf"/>
        <w:widowControl/>
        <w:numPr>
          <w:ilvl w:val="0"/>
          <w:numId w:val="7"/>
        </w:numPr>
        <w:autoSpaceDE/>
        <w:autoSpaceDN/>
        <w:spacing w:before="0" w:after="160"/>
        <w:contextualSpacing/>
        <w:rPr>
          <w:rFonts w:ascii="Times New Roman" w:hAnsi="Times New Roman" w:cs="Times New Roman"/>
        </w:rPr>
      </w:pPr>
      <w:r w:rsidRPr="00536A6B">
        <w:rPr>
          <w:rFonts w:ascii="Times New Roman" w:hAnsi="Times New Roman" w:cs="Times New Roman"/>
        </w:rPr>
        <w:t>Birim: Antalya Belek Üniversitesine bağlı fakülte, yüksekokul ve meslek yüksekokulunu,</w:t>
      </w:r>
    </w:p>
    <w:p w14:paraId="26B309DE" w14:textId="77777777" w:rsidR="00870B72" w:rsidRPr="00536A6B" w:rsidRDefault="00870B72" w:rsidP="00870B72">
      <w:pPr>
        <w:pStyle w:val="ListeParagraf"/>
        <w:widowControl/>
        <w:numPr>
          <w:ilvl w:val="0"/>
          <w:numId w:val="7"/>
        </w:numPr>
        <w:autoSpaceDE/>
        <w:autoSpaceDN/>
        <w:spacing w:before="0" w:after="160"/>
        <w:contextualSpacing/>
        <w:rPr>
          <w:rFonts w:ascii="Times New Roman" w:hAnsi="Times New Roman" w:cs="Times New Roman"/>
        </w:rPr>
      </w:pPr>
      <w:r w:rsidRPr="00536A6B">
        <w:rPr>
          <w:rFonts w:ascii="Times New Roman" w:hAnsi="Times New Roman" w:cs="Times New Roman"/>
        </w:rPr>
        <w:t>Birim Kurulu: Fakültelerde fakülte kurulunu, yüksekokullarda yüksekokul kurulunu, meslek yüksekokullarında meslek yüksekokul kurulunu,</w:t>
      </w:r>
    </w:p>
    <w:p w14:paraId="3D8E4AB0" w14:textId="77777777" w:rsidR="00870B72" w:rsidRPr="00536A6B" w:rsidRDefault="00870B72" w:rsidP="00870B72">
      <w:pPr>
        <w:pStyle w:val="ListeParagraf"/>
        <w:widowControl/>
        <w:numPr>
          <w:ilvl w:val="0"/>
          <w:numId w:val="7"/>
        </w:numPr>
        <w:autoSpaceDE/>
        <w:autoSpaceDN/>
        <w:spacing w:before="0" w:after="160"/>
        <w:contextualSpacing/>
        <w:rPr>
          <w:rFonts w:ascii="Times New Roman" w:hAnsi="Times New Roman" w:cs="Times New Roman"/>
        </w:rPr>
      </w:pPr>
      <w:r w:rsidRPr="00536A6B">
        <w:rPr>
          <w:rFonts w:ascii="Times New Roman" w:hAnsi="Times New Roman" w:cs="Times New Roman"/>
        </w:rPr>
        <w:t>Birim Yönetim Kurulu: Fakültelerde fakülte yönetim kurulunu, yüksekokullarda yüksekokul yönetim kurulunu, meslek yüksekokullarında meslek yüksekokul yönetim kurulunu,</w:t>
      </w:r>
    </w:p>
    <w:p w14:paraId="16D40EE4" w14:textId="77777777" w:rsidR="00870B72" w:rsidRPr="00536A6B" w:rsidRDefault="00870B72" w:rsidP="00870B72">
      <w:pPr>
        <w:pStyle w:val="ListeParagraf"/>
        <w:widowControl/>
        <w:numPr>
          <w:ilvl w:val="0"/>
          <w:numId w:val="7"/>
        </w:numPr>
        <w:autoSpaceDE/>
        <w:autoSpaceDN/>
        <w:spacing w:before="0" w:after="160"/>
        <w:contextualSpacing/>
        <w:rPr>
          <w:rFonts w:ascii="Times New Roman" w:hAnsi="Times New Roman" w:cs="Times New Roman"/>
        </w:rPr>
      </w:pPr>
      <w:r w:rsidRPr="00536A6B">
        <w:rPr>
          <w:rFonts w:ascii="Times New Roman" w:hAnsi="Times New Roman" w:cs="Times New Roman"/>
        </w:rPr>
        <w:t>İntibak: Antalya Belek Üniversitesine kayıt hakkı kazanan öğrencilerin daha önce Antalya Belek Üniversitesi dahil herhangi bir yükseköğretim kurumundan alıp başardığı ve muaf sayıldığı derslere göre devam edecekleri yarıyıl/yılı belirleme işlemini,</w:t>
      </w:r>
    </w:p>
    <w:p w14:paraId="604C0935" w14:textId="77777777" w:rsidR="00870B72" w:rsidRPr="00536A6B" w:rsidRDefault="00870B72" w:rsidP="00870B72">
      <w:pPr>
        <w:pStyle w:val="ListeParagraf"/>
        <w:widowControl/>
        <w:numPr>
          <w:ilvl w:val="0"/>
          <w:numId w:val="7"/>
        </w:numPr>
        <w:autoSpaceDE/>
        <w:autoSpaceDN/>
        <w:spacing w:before="0" w:after="160"/>
        <w:contextualSpacing/>
        <w:rPr>
          <w:rFonts w:ascii="Times New Roman" w:hAnsi="Times New Roman" w:cs="Times New Roman"/>
        </w:rPr>
      </w:pPr>
      <w:r w:rsidRPr="00536A6B">
        <w:rPr>
          <w:rFonts w:ascii="Times New Roman" w:hAnsi="Times New Roman" w:cs="Times New Roman"/>
        </w:rPr>
        <w:t>Muafiyet: Öğrencilerin daha önce almış ve başarmış olduğu ders/derslerin yerine, AKTS ve içerik uyumuna göre müfredatta bulunan ders/derslerin eşdeğerliğinin kabul edilmesini,</w:t>
      </w:r>
    </w:p>
    <w:p w14:paraId="600A21ED" w14:textId="77777777" w:rsidR="00870B72" w:rsidRPr="00536A6B" w:rsidRDefault="00870B72" w:rsidP="00870B72">
      <w:pPr>
        <w:pStyle w:val="ListeParagraf"/>
        <w:widowControl/>
        <w:numPr>
          <w:ilvl w:val="0"/>
          <w:numId w:val="7"/>
        </w:numPr>
        <w:autoSpaceDE/>
        <w:autoSpaceDN/>
        <w:spacing w:before="0" w:after="160"/>
        <w:contextualSpacing/>
        <w:rPr>
          <w:rFonts w:ascii="Times New Roman" w:hAnsi="Times New Roman" w:cs="Times New Roman"/>
        </w:rPr>
      </w:pPr>
      <w:r w:rsidRPr="00536A6B">
        <w:rPr>
          <w:rFonts w:ascii="Times New Roman" w:hAnsi="Times New Roman" w:cs="Times New Roman"/>
        </w:rPr>
        <w:t>Değişim programı: Yurt içi veya yurt dışı iki yükseköğretim kurumu arasında düzenlenen protokol çerçevesinde ya da ulusal/uluslararası akredite programlarda, kurumların birine kayıtlı olan öğrencilerin kısa süreli olarak diğer kurumda eğitim görmelerini ve bir kurumdan alınan derslerin diğer yükseköğretim kurumunda eşdeğer olarak kabul edilebilmesini öngören programı,</w:t>
      </w:r>
    </w:p>
    <w:p w14:paraId="7FC45B9C" w14:textId="77777777" w:rsidR="00870B72" w:rsidRPr="00536A6B" w:rsidRDefault="00870B72" w:rsidP="00870B72">
      <w:pPr>
        <w:pStyle w:val="ListeParagraf"/>
        <w:widowControl/>
        <w:numPr>
          <w:ilvl w:val="0"/>
          <w:numId w:val="7"/>
        </w:numPr>
        <w:autoSpaceDE/>
        <w:autoSpaceDN/>
        <w:spacing w:before="0" w:after="160"/>
        <w:contextualSpacing/>
        <w:rPr>
          <w:rFonts w:ascii="Times New Roman" w:hAnsi="Times New Roman" w:cs="Times New Roman"/>
        </w:rPr>
      </w:pPr>
      <w:r w:rsidRPr="00536A6B">
        <w:rPr>
          <w:rFonts w:ascii="Times New Roman" w:hAnsi="Times New Roman" w:cs="Times New Roman"/>
        </w:rPr>
        <w:t>Muafiyet/İntibak Komisyonu: Her birimde Bölüm Başkanlığı tarafından görevlendirilen en az üç öğretim elemanından oluşan komisyonu,</w:t>
      </w:r>
    </w:p>
    <w:p w14:paraId="2AFB59B2" w14:textId="77777777" w:rsidR="00870B72" w:rsidRPr="00536A6B" w:rsidRDefault="00870B72" w:rsidP="00870B72">
      <w:pPr>
        <w:pStyle w:val="ListeParagraf"/>
        <w:widowControl/>
        <w:numPr>
          <w:ilvl w:val="0"/>
          <w:numId w:val="7"/>
        </w:numPr>
        <w:autoSpaceDE/>
        <w:autoSpaceDN/>
        <w:spacing w:before="0" w:after="160"/>
        <w:contextualSpacing/>
        <w:rPr>
          <w:rFonts w:ascii="Times New Roman" w:hAnsi="Times New Roman" w:cs="Times New Roman"/>
        </w:rPr>
      </w:pPr>
      <w:r w:rsidRPr="00536A6B">
        <w:rPr>
          <w:rFonts w:ascii="Times New Roman" w:hAnsi="Times New Roman" w:cs="Times New Roman"/>
        </w:rPr>
        <w:t>Muafiyet/İntibak raporu: Öğrencilerin muaf oldukları veya alacakları dersleri belirten, hangi sınıf ve yarıyıla intibaklarının yapılacağını gösteren ve Muafiyet/İntibak Komisyonu tarafından hazırlanan raporu,</w:t>
      </w:r>
    </w:p>
    <w:p w14:paraId="07ACDC68" w14:textId="77777777" w:rsidR="00870B72" w:rsidRPr="00536A6B" w:rsidRDefault="00870B72" w:rsidP="00870B72">
      <w:pPr>
        <w:pStyle w:val="ListeParagraf"/>
        <w:widowControl/>
        <w:numPr>
          <w:ilvl w:val="0"/>
          <w:numId w:val="7"/>
        </w:numPr>
        <w:autoSpaceDE/>
        <w:autoSpaceDN/>
        <w:spacing w:before="0" w:after="160"/>
        <w:contextualSpacing/>
        <w:rPr>
          <w:rFonts w:ascii="Times New Roman" w:hAnsi="Times New Roman" w:cs="Times New Roman"/>
        </w:rPr>
      </w:pPr>
      <w:r w:rsidRPr="00536A6B">
        <w:rPr>
          <w:rFonts w:ascii="Times New Roman" w:hAnsi="Times New Roman" w:cs="Times New Roman"/>
        </w:rPr>
        <w:t>OBS: Antalya Belek Üniversitesi Öğrenci Bilgi Sistemini,</w:t>
      </w:r>
    </w:p>
    <w:p w14:paraId="0D9033FD" w14:textId="77777777" w:rsidR="00870B72" w:rsidRPr="00536A6B" w:rsidRDefault="00870B72" w:rsidP="00870B72">
      <w:pPr>
        <w:pStyle w:val="ListeParagraf"/>
        <w:widowControl/>
        <w:numPr>
          <w:ilvl w:val="0"/>
          <w:numId w:val="7"/>
        </w:numPr>
        <w:autoSpaceDE/>
        <w:autoSpaceDN/>
        <w:spacing w:before="0" w:after="160"/>
        <w:contextualSpacing/>
        <w:rPr>
          <w:rFonts w:ascii="Times New Roman" w:hAnsi="Times New Roman" w:cs="Times New Roman"/>
        </w:rPr>
      </w:pPr>
      <w:r w:rsidRPr="00536A6B">
        <w:rPr>
          <w:rFonts w:ascii="Times New Roman" w:hAnsi="Times New Roman" w:cs="Times New Roman"/>
        </w:rPr>
        <w:t>Rektör: Antalya Belek Üniversitesi Rektörünü</w:t>
      </w:r>
    </w:p>
    <w:p w14:paraId="702718D8" w14:textId="77777777" w:rsidR="00870B72" w:rsidRPr="00536A6B" w:rsidRDefault="00870B72" w:rsidP="00870B72">
      <w:pPr>
        <w:pStyle w:val="ListeParagraf"/>
        <w:widowControl/>
        <w:numPr>
          <w:ilvl w:val="0"/>
          <w:numId w:val="7"/>
        </w:numPr>
        <w:autoSpaceDE/>
        <w:autoSpaceDN/>
        <w:spacing w:before="0" w:after="160"/>
        <w:contextualSpacing/>
        <w:rPr>
          <w:rFonts w:ascii="Times New Roman" w:hAnsi="Times New Roman" w:cs="Times New Roman"/>
        </w:rPr>
      </w:pPr>
      <w:r w:rsidRPr="00536A6B">
        <w:rPr>
          <w:rFonts w:ascii="Times New Roman" w:hAnsi="Times New Roman" w:cs="Times New Roman"/>
        </w:rPr>
        <w:t>Senato: Antalya Belek Üniversitesi Senatosunu,</w:t>
      </w:r>
    </w:p>
    <w:p w14:paraId="26F10F8E" w14:textId="77777777" w:rsidR="00870B72" w:rsidRPr="00536A6B" w:rsidRDefault="00870B72" w:rsidP="00870B72">
      <w:pPr>
        <w:pStyle w:val="ListeParagraf"/>
        <w:widowControl/>
        <w:numPr>
          <w:ilvl w:val="0"/>
          <w:numId w:val="7"/>
        </w:numPr>
        <w:autoSpaceDE/>
        <w:autoSpaceDN/>
        <w:spacing w:before="0" w:after="160"/>
        <w:contextualSpacing/>
        <w:rPr>
          <w:rFonts w:ascii="Times New Roman" w:hAnsi="Times New Roman" w:cs="Times New Roman"/>
        </w:rPr>
      </w:pPr>
      <w:r w:rsidRPr="00536A6B">
        <w:rPr>
          <w:rFonts w:ascii="Times New Roman" w:hAnsi="Times New Roman" w:cs="Times New Roman"/>
        </w:rPr>
        <w:t>Üniversite: Antalya Belek Üniversitesini,</w:t>
      </w:r>
    </w:p>
    <w:p w14:paraId="08EE8272" w14:textId="77777777" w:rsidR="00870B72" w:rsidRPr="00536A6B" w:rsidRDefault="00870B72" w:rsidP="00870B72">
      <w:pPr>
        <w:jc w:val="both"/>
        <w:rPr>
          <w:rFonts w:ascii="Times New Roman" w:hAnsi="Times New Roman" w:cs="Times New Roman"/>
        </w:rPr>
      </w:pPr>
      <w:r w:rsidRPr="00536A6B">
        <w:rPr>
          <w:rFonts w:ascii="Times New Roman" w:hAnsi="Times New Roman" w:cs="Times New Roman"/>
        </w:rPr>
        <w:t xml:space="preserve">ifade eder.            </w:t>
      </w:r>
    </w:p>
    <w:p w14:paraId="790B49B2" w14:textId="77777777" w:rsidR="00870B72" w:rsidRPr="00870B72" w:rsidRDefault="00870B72" w:rsidP="00870B72">
      <w:pPr>
        <w:rPr>
          <w:rFonts w:ascii="Times New Roman" w:hAnsi="Times New Roman" w:cs="Times New Roman"/>
        </w:rPr>
      </w:pPr>
    </w:p>
    <w:p w14:paraId="41171911" w14:textId="77777777" w:rsidR="00870B72" w:rsidRPr="00536A6B" w:rsidRDefault="00870B72" w:rsidP="00870B72">
      <w:pPr>
        <w:pStyle w:val="ListeParagraf"/>
        <w:ind w:left="-567" w:firstLine="567"/>
        <w:jc w:val="center"/>
        <w:rPr>
          <w:rFonts w:ascii="Times New Roman" w:hAnsi="Times New Roman" w:cs="Times New Roman"/>
          <w:b/>
          <w:bCs/>
        </w:rPr>
      </w:pPr>
      <w:r w:rsidRPr="00536A6B">
        <w:rPr>
          <w:rFonts w:ascii="Times New Roman" w:hAnsi="Times New Roman" w:cs="Times New Roman"/>
          <w:b/>
          <w:bCs/>
        </w:rPr>
        <w:lastRenderedPageBreak/>
        <w:t>İKİNCİ BÖLÜM</w:t>
      </w:r>
    </w:p>
    <w:p w14:paraId="2E296E21" w14:textId="77777777" w:rsidR="00870B72" w:rsidRPr="00536A6B" w:rsidRDefault="00870B72" w:rsidP="00870B72">
      <w:pPr>
        <w:pStyle w:val="ListeParagraf"/>
        <w:ind w:left="-567" w:firstLine="567"/>
        <w:jc w:val="center"/>
        <w:rPr>
          <w:rFonts w:ascii="Times New Roman" w:hAnsi="Times New Roman" w:cs="Times New Roman"/>
        </w:rPr>
      </w:pPr>
      <w:r w:rsidRPr="00536A6B">
        <w:rPr>
          <w:rFonts w:ascii="Times New Roman" w:hAnsi="Times New Roman" w:cs="Times New Roman"/>
          <w:b/>
          <w:bCs/>
        </w:rPr>
        <w:t>Başvuruya İlişkin Esaslar</w:t>
      </w:r>
    </w:p>
    <w:p w14:paraId="0672B05F" w14:textId="77777777" w:rsidR="00870B72" w:rsidRPr="00536A6B" w:rsidRDefault="00870B72" w:rsidP="00870B72">
      <w:pPr>
        <w:ind w:left="-567" w:firstLine="567"/>
        <w:jc w:val="both"/>
        <w:rPr>
          <w:rFonts w:ascii="Times New Roman" w:hAnsi="Times New Roman" w:cs="Times New Roman"/>
        </w:rPr>
      </w:pPr>
      <w:r w:rsidRPr="00536A6B">
        <w:rPr>
          <w:rFonts w:ascii="Times New Roman" w:hAnsi="Times New Roman" w:cs="Times New Roman"/>
          <w:b/>
          <w:bCs/>
        </w:rPr>
        <w:t>MADDE 5</w:t>
      </w:r>
      <w:r w:rsidRPr="00536A6B">
        <w:rPr>
          <w:rFonts w:ascii="Times New Roman" w:hAnsi="Times New Roman" w:cs="Times New Roman"/>
        </w:rPr>
        <w:t xml:space="preserve">- (1) Üniversiteye yeni kayıt yaptıran öğrenci, daha önce kayıtlı olduğu yükseköğretim kurumundan almış ve başarmış olduğu derslerden muaf olmak için talepte bulunabilir: </w:t>
      </w:r>
    </w:p>
    <w:p w14:paraId="78E4F1D1" w14:textId="77777777" w:rsidR="00870B72" w:rsidRPr="00536A6B" w:rsidRDefault="00870B72" w:rsidP="00870B72">
      <w:pPr>
        <w:pStyle w:val="ListeParagraf"/>
        <w:widowControl/>
        <w:numPr>
          <w:ilvl w:val="0"/>
          <w:numId w:val="8"/>
        </w:numPr>
        <w:autoSpaceDE/>
        <w:autoSpaceDN/>
        <w:spacing w:before="0" w:after="160"/>
        <w:contextualSpacing/>
        <w:rPr>
          <w:rFonts w:ascii="Times New Roman" w:hAnsi="Times New Roman" w:cs="Times New Roman"/>
        </w:rPr>
      </w:pPr>
      <w:r w:rsidRPr="00536A6B">
        <w:rPr>
          <w:rFonts w:ascii="Times New Roman" w:hAnsi="Times New Roman" w:cs="Times New Roman"/>
        </w:rPr>
        <w:t>Muafiyet için başvurular, öğrencinin Üniversiteye ders kaydını yaptırdığı ilk yarıyılın ikinci haftasının (ekle-bırak haftasının) sonuna kadar yapılır. Ek kontenjan ile kayıt yaptıran öğrenciler, Üniversite’ye kayıt yaptırdıkları tarihi takip eden ilk hafta içerisinde muafiyet talebinde bulunabilirler. Kaydını donduran ve izinli sayılan öğrenciler hariç olmak üzere, belirtilen sürede yapılmayan başvurular değerlendirilmeye alınmaz. Ancak sonraki yarıyıllarda ders programlarında yapılan değişiklikler vb. nedenlerle ortaya çıkabilecek muafiyet talepleri ilgili Muafiyet/İntibak Komisyonları tarafından değerlendirilir.</w:t>
      </w:r>
    </w:p>
    <w:p w14:paraId="021DDFCE" w14:textId="77777777" w:rsidR="00870B72" w:rsidRPr="00536A6B" w:rsidRDefault="00870B72" w:rsidP="00870B72">
      <w:pPr>
        <w:pStyle w:val="ListeParagraf"/>
        <w:widowControl/>
        <w:numPr>
          <w:ilvl w:val="0"/>
          <w:numId w:val="8"/>
        </w:numPr>
        <w:autoSpaceDE/>
        <w:autoSpaceDN/>
        <w:spacing w:before="0" w:after="160"/>
        <w:contextualSpacing/>
        <w:rPr>
          <w:rFonts w:ascii="Times New Roman" w:hAnsi="Times New Roman" w:cs="Times New Roman"/>
        </w:rPr>
      </w:pPr>
      <w:r w:rsidRPr="00536A6B">
        <w:rPr>
          <w:rFonts w:ascii="Times New Roman" w:hAnsi="Times New Roman" w:cs="Times New Roman"/>
        </w:rPr>
        <w:t>Öğrenci, başvuru esnasında başarılı olduğu derslerin hangilerinden muaf olmak istediğini Ders Muafiyet Başvuru Formunu doldurarak açıkça belirtmelidir. Öğrencilerin, hangi ders/derslerden muaf olmak istediklerini başvuru dilekçelerinde belirtmemeleri halinde, ilgili komisyon tarafından başvuru evraklarına göre muafiyet işlemi yapılır. Ders Muafiyet Başvuru Formuna göre en geç 2 (iki) hafta içinde ilgili Komisyon tarafından Muafiyet/İntibak Raporu düzenlenir.</w:t>
      </w:r>
    </w:p>
    <w:p w14:paraId="4F1FA57F" w14:textId="77777777" w:rsidR="00870B72" w:rsidRPr="00536A6B" w:rsidRDefault="00870B72" w:rsidP="00870B72">
      <w:pPr>
        <w:pStyle w:val="ListeParagraf"/>
        <w:widowControl/>
        <w:numPr>
          <w:ilvl w:val="0"/>
          <w:numId w:val="8"/>
        </w:numPr>
        <w:autoSpaceDE/>
        <w:autoSpaceDN/>
        <w:spacing w:before="0" w:after="160"/>
        <w:contextualSpacing/>
        <w:rPr>
          <w:rFonts w:ascii="Times New Roman" w:hAnsi="Times New Roman" w:cs="Times New Roman"/>
        </w:rPr>
      </w:pPr>
      <w:r w:rsidRPr="00536A6B">
        <w:rPr>
          <w:rFonts w:ascii="Times New Roman" w:hAnsi="Times New Roman" w:cs="Times New Roman"/>
        </w:rPr>
        <w:t xml:space="preserve">Ders Muafiyet Başvuru formunun ekine, daha önce öğrenim görülen yükseköğretim kurumu tarafından onaylanmış (mühürlü, kaşeli ve imzalı) veya Üniversitelerin web sitelerinden indirilen ve sitenin adresini içeren ders içerikleri ve not durum belgesi/transkript eklenmelidir. </w:t>
      </w:r>
    </w:p>
    <w:p w14:paraId="0C1CD3CE" w14:textId="77777777" w:rsidR="00870B72" w:rsidRPr="00536A6B" w:rsidRDefault="00870B72" w:rsidP="00870B72">
      <w:pPr>
        <w:pStyle w:val="ListeParagraf"/>
        <w:widowControl/>
        <w:numPr>
          <w:ilvl w:val="0"/>
          <w:numId w:val="8"/>
        </w:numPr>
        <w:autoSpaceDE/>
        <w:autoSpaceDN/>
        <w:spacing w:before="0" w:after="160"/>
        <w:contextualSpacing/>
        <w:rPr>
          <w:rFonts w:ascii="Times New Roman" w:hAnsi="Times New Roman" w:cs="Times New Roman"/>
        </w:rPr>
      </w:pPr>
      <w:r w:rsidRPr="00536A6B">
        <w:rPr>
          <w:rFonts w:ascii="Times New Roman" w:hAnsi="Times New Roman" w:cs="Times New Roman"/>
        </w:rPr>
        <w:t>Muafiyet/İntibak işlemleri, ilgili Muafiyet/İntibak Komisyonun olumlu görüşü ve ilgili yönetim kurulu kararı ile gerçekleştirilir ve Ders Muafiyet/İntibak Eşdeğerlik Tablosu ile birlikte Öğrenci İşleri Daire Başkanlığına iletilir. Ders Muafiyet/İntibak Eşdeğerlik Tablosu öğrenci tarafından imzalandıktan sonra öğrenci dosyasında saklanır, bir kopyası da öğrenciye teslim edilir.</w:t>
      </w:r>
    </w:p>
    <w:p w14:paraId="48F64813" w14:textId="77777777" w:rsidR="00870B72" w:rsidRPr="00536A6B" w:rsidRDefault="00870B72" w:rsidP="00870B72">
      <w:pPr>
        <w:pStyle w:val="ListeParagraf"/>
        <w:widowControl/>
        <w:numPr>
          <w:ilvl w:val="0"/>
          <w:numId w:val="8"/>
        </w:numPr>
        <w:autoSpaceDE/>
        <w:autoSpaceDN/>
        <w:spacing w:before="0" w:after="160"/>
        <w:contextualSpacing/>
        <w:rPr>
          <w:rFonts w:ascii="Times New Roman" w:hAnsi="Times New Roman" w:cs="Times New Roman"/>
        </w:rPr>
      </w:pPr>
      <w:r w:rsidRPr="00536A6B">
        <w:rPr>
          <w:rFonts w:ascii="Times New Roman" w:hAnsi="Times New Roman" w:cs="Times New Roman"/>
        </w:rPr>
        <w:t>Yapılan muafiyet ve intibak sonuçlarına itirazlar, işlemin kesinleşip öğrenciye bildirildiği tarihten itibaren en geç 7 (yedi) iş günü içinde ilgili birime yapılır. İtiraz başvuruları ilgili komisyon tarafından değerlendirilir.</w:t>
      </w:r>
    </w:p>
    <w:p w14:paraId="2B37CA42" w14:textId="77777777" w:rsidR="00870B72" w:rsidRPr="00536A6B" w:rsidRDefault="00870B72" w:rsidP="00870B72">
      <w:pPr>
        <w:jc w:val="both"/>
        <w:rPr>
          <w:rFonts w:ascii="Times New Roman" w:hAnsi="Times New Roman" w:cs="Times New Roman"/>
        </w:rPr>
      </w:pPr>
    </w:p>
    <w:p w14:paraId="16571926" w14:textId="77777777" w:rsidR="00870B72" w:rsidRPr="00536A6B" w:rsidRDefault="00870B72" w:rsidP="00870B72">
      <w:pPr>
        <w:pStyle w:val="ListeParagraf"/>
        <w:ind w:left="-567" w:firstLine="567"/>
        <w:jc w:val="center"/>
        <w:rPr>
          <w:rFonts w:ascii="Times New Roman" w:hAnsi="Times New Roman" w:cs="Times New Roman"/>
          <w:b/>
          <w:bCs/>
        </w:rPr>
      </w:pPr>
      <w:r w:rsidRPr="00536A6B">
        <w:rPr>
          <w:rFonts w:ascii="Times New Roman" w:hAnsi="Times New Roman" w:cs="Times New Roman"/>
          <w:b/>
          <w:bCs/>
        </w:rPr>
        <w:t>ÜÇÜNCÜ BÖLÜM</w:t>
      </w:r>
    </w:p>
    <w:p w14:paraId="266C921C" w14:textId="77777777" w:rsidR="00870B72" w:rsidRPr="00536A6B" w:rsidRDefault="00870B72" w:rsidP="00870B72">
      <w:pPr>
        <w:pStyle w:val="ListeParagraf"/>
        <w:ind w:left="-567" w:firstLine="567"/>
        <w:jc w:val="center"/>
        <w:rPr>
          <w:rFonts w:ascii="Times New Roman" w:hAnsi="Times New Roman" w:cs="Times New Roman"/>
          <w:b/>
          <w:bCs/>
        </w:rPr>
      </w:pPr>
      <w:r w:rsidRPr="00536A6B">
        <w:rPr>
          <w:rFonts w:ascii="Times New Roman" w:hAnsi="Times New Roman" w:cs="Times New Roman"/>
          <w:b/>
          <w:bCs/>
        </w:rPr>
        <w:t>Muafiyet ve İntibak İşlemlerine İlişkin Esaslar</w:t>
      </w:r>
    </w:p>
    <w:p w14:paraId="2E2E04B4" w14:textId="77777777" w:rsidR="00870B72" w:rsidRPr="00536A6B" w:rsidRDefault="00870B72" w:rsidP="00870B72">
      <w:pPr>
        <w:ind w:left="-567" w:firstLine="567"/>
        <w:jc w:val="both"/>
        <w:rPr>
          <w:rFonts w:ascii="Times New Roman" w:hAnsi="Times New Roman" w:cs="Times New Roman"/>
          <w:b/>
          <w:bCs/>
        </w:rPr>
      </w:pPr>
      <w:r w:rsidRPr="00536A6B">
        <w:rPr>
          <w:rFonts w:ascii="Times New Roman" w:hAnsi="Times New Roman" w:cs="Times New Roman"/>
          <w:b/>
          <w:bCs/>
        </w:rPr>
        <w:t>Genel Esaslar</w:t>
      </w:r>
    </w:p>
    <w:p w14:paraId="367740A3" w14:textId="77777777" w:rsidR="00870B72" w:rsidRPr="00536A6B" w:rsidRDefault="00870B72" w:rsidP="00870B72">
      <w:pPr>
        <w:ind w:left="-567" w:firstLine="567"/>
        <w:jc w:val="both"/>
        <w:rPr>
          <w:rFonts w:ascii="Times New Roman" w:hAnsi="Times New Roman" w:cs="Times New Roman"/>
        </w:rPr>
      </w:pPr>
      <w:r w:rsidRPr="00536A6B">
        <w:rPr>
          <w:rFonts w:ascii="Times New Roman" w:hAnsi="Times New Roman" w:cs="Times New Roman"/>
          <w:b/>
          <w:bCs/>
        </w:rPr>
        <w:t>MADDE 6</w:t>
      </w:r>
      <w:r w:rsidRPr="00536A6B">
        <w:rPr>
          <w:rFonts w:ascii="Times New Roman" w:hAnsi="Times New Roman" w:cs="Times New Roman"/>
        </w:rPr>
        <w:t>-(1)</w:t>
      </w:r>
      <w:r w:rsidRPr="00536A6B">
        <w:rPr>
          <w:rFonts w:ascii="Times New Roman" w:hAnsi="Times New Roman" w:cs="Times New Roman"/>
        </w:rPr>
        <w:tab/>
        <w:t>Öğrencilerin muafiyet talepleri Birim Yönetim Kurulu tarafından değerlendirilerek karara bağlanıncaya kadar muafiyet talebinde bulundukları derse veya derslere devam ederler.</w:t>
      </w:r>
    </w:p>
    <w:p w14:paraId="17F77F7D" w14:textId="77777777" w:rsidR="00870B72" w:rsidRPr="00536A6B" w:rsidRDefault="00870B72" w:rsidP="00870B72">
      <w:pPr>
        <w:ind w:left="-567" w:firstLine="567"/>
        <w:jc w:val="both"/>
        <w:rPr>
          <w:rFonts w:ascii="Times New Roman" w:hAnsi="Times New Roman" w:cs="Times New Roman"/>
        </w:rPr>
      </w:pPr>
      <w:r w:rsidRPr="00536A6B">
        <w:rPr>
          <w:rFonts w:ascii="Times New Roman" w:hAnsi="Times New Roman" w:cs="Times New Roman"/>
        </w:rPr>
        <w:t>(2)</w:t>
      </w:r>
      <w:r w:rsidRPr="00536A6B">
        <w:rPr>
          <w:rFonts w:ascii="Times New Roman" w:hAnsi="Times New Roman" w:cs="Times New Roman"/>
        </w:rPr>
        <w:tab/>
        <w:t>Üniversite’nin bir programında okurken Yükseköğretim Kurumları Sınavına (YKS) girerek aynı programı farklı burs/indirim oranı ile kazanan öğrenciler hariç sadece daha önce alınan ve DC ve üzeri harf notlarına sahip (Antalya Belek Üniversitesi Ön Lisans ve Lisans Eğitim-Öğretim ve Sınav Yönetmeliğinde bulunan not baremine göre DC ve üzeri) dersler için muafiyet işlemi yapılır; başarısız dersler için muafiyet işlemi yapılmaz.</w:t>
      </w:r>
    </w:p>
    <w:p w14:paraId="0CE2A2D3" w14:textId="77777777" w:rsidR="00870B72" w:rsidRPr="00536A6B" w:rsidRDefault="00870B72" w:rsidP="00870B72">
      <w:pPr>
        <w:ind w:left="-567" w:firstLine="567"/>
        <w:jc w:val="both"/>
        <w:rPr>
          <w:rFonts w:ascii="Times New Roman" w:hAnsi="Times New Roman" w:cs="Times New Roman"/>
        </w:rPr>
      </w:pPr>
      <w:r w:rsidRPr="00536A6B">
        <w:rPr>
          <w:rFonts w:ascii="Times New Roman" w:hAnsi="Times New Roman" w:cs="Times New Roman"/>
        </w:rPr>
        <w:t>(4)</w:t>
      </w:r>
      <w:r w:rsidRPr="00536A6B">
        <w:rPr>
          <w:rFonts w:ascii="Times New Roman" w:hAnsi="Times New Roman" w:cs="Times New Roman"/>
        </w:rPr>
        <w:tab/>
        <w:t>2547 sayılı Kanunun 5. maddesinin birinci fıkrasının (ı) bendinde belirtilen (Atatürk İlkeleri ve İnkılap Tarihi, Türk dili, yabancı dil, İş Sağlığı ve Güvenliği gibi) ortak zorunlu dersleri alıp ve yeterli başarıyı göstermiş öğrencilerin muafiyet işlemleri, AKTS kredisi ve ders içeriği uyumuna, ayrıca yıllık ya da dönemlik olmasına bakılmaksızın yapılır.</w:t>
      </w:r>
    </w:p>
    <w:p w14:paraId="6D8D25E8" w14:textId="77777777" w:rsidR="00870B72" w:rsidRPr="00536A6B" w:rsidRDefault="00870B72" w:rsidP="00870B72">
      <w:pPr>
        <w:ind w:left="-567" w:firstLine="567"/>
        <w:jc w:val="both"/>
        <w:rPr>
          <w:rFonts w:ascii="Times New Roman" w:hAnsi="Times New Roman" w:cs="Times New Roman"/>
        </w:rPr>
      </w:pPr>
      <w:r w:rsidRPr="00536A6B">
        <w:rPr>
          <w:rFonts w:ascii="Times New Roman" w:hAnsi="Times New Roman" w:cs="Times New Roman"/>
        </w:rPr>
        <w:t>(5)</w:t>
      </w:r>
      <w:r w:rsidRPr="00536A6B">
        <w:rPr>
          <w:rFonts w:ascii="Times New Roman" w:hAnsi="Times New Roman" w:cs="Times New Roman"/>
        </w:rPr>
        <w:tab/>
        <w:t>Muafiyeti istenen bir dersin adının, eşdeğer sayılacak ders ile birebir aynı olması gerekmez.</w:t>
      </w:r>
    </w:p>
    <w:p w14:paraId="5AF42A65" w14:textId="77777777" w:rsidR="00870B72" w:rsidRPr="00536A6B" w:rsidRDefault="00870B72" w:rsidP="00870B72">
      <w:pPr>
        <w:ind w:left="-567" w:firstLine="567"/>
        <w:jc w:val="both"/>
        <w:rPr>
          <w:rFonts w:ascii="Times New Roman" w:hAnsi="Times New Roman" w:cs="Times New Roman"/>
        </w:rPr>
      </w:pPr>
      <w:r w:rsidRPr="00536A6B">
        <w:rPr>
          <w:rFonts w:ascii="Times New Roman" w:hAnsi="Times New Roman" w:cs="Times New Roman"/>
        </w:rPr>
        <w:t>(6)</w:t>
      </w:r>
      <w:r w:rsidRPr="00536A6B">
        <w:rPr>
          <w:rFonts w:ascii="Times New Roman" w:hAnsi="Times New Roman" w:cs="Times New Roman"/>
        </w:rPr>
        <w:tab/>
        <w:t>Bir dersten muaf olabilmek için dersin içeriğinin en az %70 oranında benzer olması gerekir. Uluslararası öğrenci değişim programları kapsamında yurtdışından alınan derslerde bu koşul aranmaz.</w:t>
      </w:r>
    </w:p>
    <w:p w14:paraId="640B3AEF" w14:textId="77777777" w:rsidR="00870B72" w:rsidRPr="00536A6B" w:rsidRDefault="00870B72" w:rsidP="00870B72">
      <w:pPr>
        <w:ind w:left="-567" w:firstLine="567"/>
        <w:jc w:val="both"/>
        <w:rPr>
          <w:rFonts w:ascii="Times New Roman" w:hAnsi="Times New Roman" w:cs="Times New Roman"/>
        </w:rPr>
      </w:pPr>
      <w:r w:rsidRPr="00536A6B">
        <w:rPr>
          <w:rFonts w:ascii="Times New Roman" w:hAnsi="Times New Roman" w:cs="Times New Roman"/>
        </w:rPr>
        <w:t>(7)</w:t>
      </w:r>
      <w:r w:rsidRPr="00536A6B">
        <w:rPr>
          <w:rFonts w:ascii="Times New Roman" w:hAnsi="Times New Roman" w:cs="Times New Roman"/>
        </w:rPr>
        <w:tab/>
        <w:t>Aynı anda ön lisans ve lisans eğitimine devam eden öğrencilerin, eş zamanlı olarak almış oldukları dersler için muafiyet işlemi yapılamaz.</w:t>
      </w:r>
    </w:p>
    <w:p w14:paraId="1DE0BF4A" w14:textId="77777777" w:rsidR="00870B72" w:rsidRPr="00536A6B" w:rsidRDefault="00870B72" w:rsidP="00870B72">
      <w:pPr>
        <w:ind w:left="-567" w:firstLine="567"/>
        <w:jc w:val="both"/>
        <w:rPr>
          <w:rFonts w:ascii="Times New Roman" w:hAnsi="Times New Roman" w:cs="Times New Roman"/>
        </w:rPr>
      </w:pPr>
      <w:r w:rsidRPr="00536A6B">
        <w:rPr>
          <w:rFonts w:ascii="Times New Roman" w:hAnsi="Times New Roman" w:cs="Times New Roman"/>
        </w:rPr>
        <w:t>(8)</w:t>
      </w:r>
      <w:r w:rsidRPr="00536A6B">
        <w:rPr>
          <w:rFonts w:ascii="Times New Roman" w:hAnsi="Times New Roman" w:cs="Times New Roman"/>
        </w:rPr>
        <w:tab/>
        <w:t>Başarı notlarının dönüştürülmesinde Antalya Belek Üniversitesi Ön Lisans ve Lisans Eğitim-Öğretim ve Sınav Yönetmeliğine göre işlem yapılır.</w:t>
      </w:r>
    </w:p>
    <w:p w14:paraId="521732E7" w14:textId="77777777" w:rsidR="00870B72" w:rsidRPr="00536A6B" w:rsidRDefault="00870B72" w:rsidP="00870B72">
      <w:pPr>
        <w:ind w:left="-567" w:firstLine="567"/>
        <w:jc w:val="both"/>
        <w:rPr>
          <w:rFonts w:ascii="Times New Roman" w:hAnsi="Times New Roman" w:cs="Times New Roman"/>
        </w:rPr>
      </w:pPr>
      <w:r w:rsidRPr="00536A6B">
        <w:rPr>
          <w:rFonts w:ascii="Times New Roman" w:hAnsi="Times New Roman" w:cs="Times New Roman"/>
        </w:rPr>
        <w:t>(9)</w:t>
      </w:r>
      <w:r w:rsidRPr="00536A6B">
        <w:rPr>
          <w:rFonts w:ascii="Times New Roman" w:hAnsi="Times New Roman" w:cs="Times New Roman"/>
        </w:rPr>
        <w:tab/>
        <w:t xml:space="preserve">Öğrencinin, daha önce öğrenim gördüğü yükseköğretim kurumundan alıp başarmış olduğu; ancak kredisiz olduğu için ‘Geçer’, ‘Başarılı’, ‘Yeterli’, ‘Muaf’ ve buna benzer terimlerle ifade edilen derslerin başarı </w:t>
      </w:r>
      <w:r w:rsidRPr="00536A6B">
        <w:rPr>
          <w:rFonts w:ascii="Times New Roman" w:hAnsi="Times New Roman" w:cs="Times New Roman"/>
        </w:rPr>
        <w:lastRenderedPageBreak/>
        <w:t>notu EX başarı notu (katsayı karşılığı olmayan dersler için verilen muafiyet notudur) olarak kabul edilir. Herhangi bir dersten EX ders başarı notu ile muaf olan öğrenciler, daha sonra bu dersi not yükseltmek amacıyla alamazlar.</w:t>
      </w:r>
    </w:p>
    <w:p w14:paraId="5F08AA86" w14:textId="77777777" w:rsidR="00870B72" w:rsidRPr="00536A6B" w:rsidRDefault="00870B72" w:rsidP="00870B72">
      <w:pPr>
        <w:ind w:left="-567" w:firstLine="567"/>
        <w:jc w:val="both"/>
        <w:rPr>
          <w:rFonts w:ascii="Times New Roman" w:hAnsi="Times New Roman" w:cs="Times New Roman"/>
        </w:rPr>
      </w:pPr>
      <w:r w:rsidRPr="00536A6B">
        <w:rPr>
          <w:rFonts w:ascii="Times New Roman" w:hAnsi="Times New Roman" w:cs="Times New Roman"/>
        </w:rPr>
        <w:t>(10)</w:t>
      </w:r>
      <w:r w:rsidRPr="00536A6B">
        <w:rPr>
          <w:rFonts w:ascii="Times New Roman" w:hAnsi="Times New Roman" w:cs="Times New Roman"/>
        </w:rPr>
        <w:tab/>
        <w:t>Öğrenciler katsayılı harf notu ile muaf oldukları dersleri ilgili dönemlerde not yükseltmek için yeniden alabilirler.  Bu durumda son alınan not geçerli olur.</w:t>
      </w:r>
    </w:p>
    <w:p w14:paraId="6A82B204" w14:textId="77777777" w:rsidR="00870B72" w:rsidRPr="00536A6B" w:rsidRDefault="00870B72" w:rsidP="00870B72">
      <w:pPr>
        <w:ind w:left="-567" w:firstLine="567"/>
        <w:jc w:val="both"/>
        <w:rPr>
          <w:rFonts w:ascii="Times New Roman" w:hAnsi="Times New Roman" w:cs="Times New Roman"/>
        </w:rPr>
      </w:pPr>
      <w:r w:rsidRPr="00536A6B">
        <w:rPr>
          <w:rFonts w:ascii="Times New Roman" w:hAnsi="Times New Roman" w:cs="Times New Roman"/>
        </w:rPr>
        <w:t>(11)</w:t>
      </w:r>
      <w:r w:rsidRPr="00536A6B">
        <w:rPr>
          <w:rFonts w:ascii="Times New Roman" w:hAnsi="Times New Roman" w:cs="Times New Roman"/>
        </w:rPr>
        <w:tab/>
        <w:t xml:space="preserve">Birden fazla dersin bir derse eşdeğer sayılması durumunda, muaf sayılacak dersin notu ilgili derslerin ağırlıklı not ortalamasına eşitlenir. </w:t>
      </w:r>
    </w:p>
    <w:p w14:paraId="32F42D67" w14:textId="77777777" w:rsidR="00870B72" w:rsidRPr="00536A6B" w:rsidRDefault="00870B72" w:rsidP="00870B72">
      <w:pPr>
        <w:ind w:left="-567" w:firstLine="567"/>
        <w:jc w:val="both"/>
        <w:rPr>
          <w:rFonts w:ascii="Times New Roman" w:hAnsi="Times New Roman" w:cs="Times New Roman"/>
        </w:rPr>
      </w:pPr>
      <w:r w:rsidRPr="00536A6B">
        <w:rPr>
          <w:rFonts w:ascii="Times New Roman" w:hAnsi="Times New Roman" w:cs="Times New Roman"/>
        </w:rPr>
        <w:t>(12)</w:t>
      </w:r>
      <w:r w:rsidRPr="00536A6B">
        <w:rPr>
          <w:rFonts w:ascii="Times New Roman" w:hAnsi="Times New Roman" w:cs="Times New Roman"/>
        </w:rPr>
        <w:tab/>
        <w:t>Öğrencilerin, üst yarıyıla/yıla intibaklarının yapılabilmesi için, muaf/başarılı olduğu derslerin AKTS toplamı ilgili yarıyıla kadar olan toplam AKTS değerinin aşağıdaki şekilde olması gerekmektedir:</w:t>
      </w:r>
    </w:p>
    <w:p w14:paraId="5C7E9C1D" w14:textId="77777777" w:rsidR="00870B72" w:rsidRPr="00536A6B" w:rsidRDefault="00870B72" w:rsidP="00870B72">
      <w:pPr>
        <w:pStyle w:val="ListeParagraf"/>
        <w:widowControl/>
        <w:numPr>
          <w:ilvl w:val="0"/>
          <w:numId w:val="9"/>
        </w:numPr>
        <w:autoSpaceDE/>
        <w:autoSpaceDN/>
        <w:spacing w:before="0" w:after="160"/>
        <w:contextualSpacing/>
        <w:rPr>
          <w:rFonts w:ascii="Times New Roman" w:hAnsi="Times New Roman" w:cs="Times New Roman"/>
        </w:rPr>
      </w:pPr>
      <w:r w:rsidRPr="00536A6B">
        <w:rPr>
          <w:rFonts w:ascii="Times New Roman" w:hAnsi="Times New Roman" w:cs="Times New Roman"/>
        </w:rPr>
        <w:t>İkinci sınıfa intibak için AKTS toplamı en az 40</w:t>
      </w:r>
    </w:p>
    <w:p w14:paraId="0037DA42" w14:textId="77777777" w:rsidR="00870B72" w:rsidRPr="00536A6B" w:rsidRDefault="00870B72" w:rsidP="00870B72">
      <w:pPr>
        <w:pStyle w:val="ListeParagraf"/>
        <w:widowControl/>
        <w:numPr>
          <w:ilvl w:val="0"/>
          <w:numId w:val="9"/>
        </w:numPr>
        <w:autoSpaceDE/>
        <w:autoSpaceDN/>
        <w:spacing w:before="0" w:after="160"/>
        <w:contextualSpacing/>
        <w:rPr>
          <w:rFonts w:ascii="Times New Roman" w:hAnsi="Times New Roman" w:cs="Times New Roman"/>
        </w:rPr>
      </w:pPr>
      <w:r w:rsidRPr="00536A6B">
        <w:rPr>
          <w:rFonts w:ascii="Times New Roman" w:hAnsi="Times New Roman" w:cs="Times New Roman"/>
        </w:rPr>
        <w:t>Üçüncü sınıfa intibak için AKTS toplamı en az 96</w:t>
      </w:r>
    </w:p>
    <w:p w14:paraId="79BCC1A8" w14:textId="77777777" w:rsidR="00870B72" w:rsidRPr="00536A6B" w:rsidRDefault="00870B72" w:rsidP="00870B72">
      <w:pPr>
        <w:pStyle w:val="ListeParagraf"/>
        <w:widowControl/>
        <w:numPr>
          <w:ilvl w:val="0"/>
          <w:numId w:val="9"/>
        </w:numPr>
        <w:autoSpaceDE/>
        <w:autoSpaceDN/>
        <w:spacing w:before="0" w:after="160"/>
        <w:contextualSpacing/>
        <w:rPr>
          <w:rFonts w:ascii="Times New Roman" w:hAnsi="Times New Roman" w:cs="Times New Roman"/>
        </w:rPr>
      </w:pPr>
      <w:r w:rsidRPr="00536A6B">
        <w:rPr>
          <w:rFonts w:ascii="Times New Roman" w:hAnsi="Times New Roman" w:cs="Times New Roman"/>
        </w:rPr>
        <w:t>Dördüncü sınıfa intibak için AKTS toplamı en az 140</w:t>
      </w:r>
    </w:p>
    <w:p w14:paraId="595E4643" w14:textId="77777777" w:rsidR="00870B72" w:rsidRPr="00536A6B" w:rsidRDefault="00870B72" w:rsidP="00870B72">
      <w:pPr>
        <w:ind w:left="-567" w:firstLine="567"/>
        <w:jc w:val="both"/>
        <w:rPr>
          <w:rFonts w:ascii="Times New Roman" w:hAnsi="Times New Roman" w:cs="Times New Roman"/>
        </w:rPr>
      </w:pPr>
      <w:r w:rsidRPr="00536A6B">
        <w:rPr>
          <w:rFonts w:ascii="Times New Roman" w:hAnsi="Times New Roman" w:cs="Times New Roman"/>
        </w:rPr>
        <w:t>(13)</w:t>
      </w:r>
      <w:r w:rsidRPr="00536A6B">
        <w:rPr>
          <w:rFonts w:ascii="Times New Roman" w:hAnsi="Times New Roman" w:cs="Times New Roman"/>
        </w:rPr>
        <w:tab/>
        <w:t>Antalya Belek Üniversitesine yatay ve dikey geçiş yapan veya önceki öğrenimleri nedeniyle muafiyet talebinde bulunan öğrencilere uygulanacak transfer ve intibak işlemlerinde, bu öğrencilerin mezuniyeti için Antalya Belek Üniversitesinde an az iki yarıyıl kayıtlı olması şeklinde öğrenimlerinin planlanması gerekmektedir.</w:t>
      </w:r>
    </w:p>
    <w:p w14:paraId="10BA66B6" w14:textId="77777777" w:rsidR="00870B72" w:rsidRPr="00536A6B" w:rsidRDefault="00870B72" w:rsidP="00870B72">
      <w:pPr>
        <w:pStyle w:val="ListeParagraf"/>
        <w:ind w:left="-567" w:firstLine="567"/>
        <w:rPr>
          <w:rFonts w:ascii="Times New Roman" w:hAnsi="Times New Roman" w:cs="Times New Roman"/>
          <w:b/>
          <w:bCs/>
        </w:rPr>
      </w:pPr>
    </w:p>
    <w:p w14:paraId="5A031CF2" w14:textId="77777777" w:rsidR="00870B72" w:rsidRPr="00536A6B" w:rsidRDefault="00870B72" w:rsidP="00870B72">
      <w:pPr>
        <w:pStyle w:val="ListeParagraf"/>
        <w:ind w:left="-567" w:firstLine="567"/>
        <w:jc w:val="center"/>
        <w:rPr>
          <w:rFonts w:ascii="Times New Roman" w:hAnsi="Times New Roman" w:cs="Times New Roman"/>
          <w:b/>
          <w:bCs/>
        </w:rPr>
      </w:pPr>
      <w:r w:rsidRPr="00536A6B">
        <w:rPr>
          <w:rFonts w:ascii="Times New Roman" w:hAnsi="Times New Roman" w:cs="Times New Roman"/>
          <w:b/>
          <w:bCs/>
        </w:rPr>
        <w:t>ÜÇÜNCÜ BÖLÜM</w:t>
      </w:r>
    </w:p>
    <w:p w14:paraId="447A5F08" w14:textId="77777777" w:rsidR="00870B72" w:rsidRPr="00536A6B" w:rsidRDefault="00870B72" w:rsidP="00870B72">
      <w:pPr>
        <w:pStyle w:val="ListeParagraf"/>
        <w:ind w:left="-567" w:firstLine="567"/>
        <w:jc w:val="center"/>
        <w:rPr>
          <w:rFonts w:ascii="Times New Roman" w:hAnsi="Times New Roman" w:cs="Times New Roman"/>
          <w:b/>
          <w:bCs/>
        </w:rPr>
      </w:pPr>
      <w:r w:rsidRPr="00536A6B">
        <w:rPr>
          <w:rFonts w:ascii="Times New Roman" w:hAnsi="Times New Roman" w:cs="Times New Roman"/>
          <w:b/>
          <w:bCs/>
        </w:rPr>
        <w:t>Çeşitli ve Son Hükümler</w:t>
      </w:r>
    </w:p>
    <w:p w14:paraId="259C9E0F" w14:textId="77777777" w:rsidR="00870B72" w:rsidRPr="00536A6B" w:rsidRDefault="00870B72" w:rsidP="00870B72">
      <w:pPr>
        <w:ind w:left="-567" w:firstLine="567"/>
        <w:jc w:val="both"/>
        <w:rPr>
          <w:rFonts w:ascii="Times New Roman" w:hAnsi="Times New Roman" w:cs="Times New Roman"/>
        </w:rPr>
      </w:pPr>
    </w:p>
    <w:p w14:paraId="04686B5C" w14:textId="77777777" w:rsidR="00870B72" w:rsidRPr="00536A6B" w:rsidRDefault="00870B72" w:rsidP="00870B72">
      <w:pPr>
        <w:ind w:left="-567" w:firstLine="567"/>
        <w:jc w:val="both"/>
        <w:rPr>
          <w:rFonts w:ascii="Times New Roman" w:hAnsi="Times New Roman" w:cs="Times New Roman"/>
          <w:b/>
          <w:bCs/>
        </w:rPr>
      </w:pPr>
      <w:r w:rsidRPr="00536A6B">
        <w:rPr>
          <w:rFonts w:ascii="Times New Roman" w:hAnsi="Times New Roman" w:cs="Times New Roman"/>
          <w:b/>
          <w:bCs/>
        </w:rPr>
        <w:t>Hüküm Bulunmayan Haller</w:t>
      </w:r>
    </w:p>
    <w:p w14:paraId="34EB6DF5" w14:textId="77777777" w:rsidR="00870B72" w:rsidRPr="00536A6B" w:rsidRDefault="00870B72" w:rsidP="00870B72">
      <w:pPr>
        <w:ind w:left="-567" w:firstLine="567"/>
        <w:jc w:val="both"/>
        <w:rPr>
          <w:rFonts w:ascii="Times New Roman" w:hAnsi="Times New Roman" w:cs="Times New Roman"/>
        </w:rPr>
      </w:pPr>
      <w:r w:rsidRPr="00536A6B">
        <w:rPr>
          <w:rFonts w:ascii="Times New Roman" w:hAnsi="Times New Roman" w:cs="Times New Roman"/>
          <w:b/>
          <w:bCs/>
        </w:rPr>
        <w:t>MADDE 7</w:t>
      </w:r>
      <w:r w:rsidRPr="00536A6B">
        <w:rPr>
          <w:rFonts w:ascii="Times New Roman" w:hAnsi="Times New Roman" w:cs="Times New Roman"/>
        </w:rPr>
        <w:t xml:space="preserve"> – (1) Bu yönergede hüküm bulunmayan hallerde ilgili diğer mevzuat hükümleri ile Üniversite Yönetim Kurulu ve Senato kararları uygulanır.</w:t>
      </w:r>
    </w:p>
    <w:p w14:paraId="46E6190F" w14:textId="77777777" w:rsidR="00870B72" w:rsidRPr="00536A6B" w:rsidRDefault="00870B72" w:rsidP="00870B72">
      <w:pPr>
        <w:ind w:left="-567" w:firstLine="567"/>
        <w:jc w:val="both"/>
        <w:rPr>
          <w:rFonts w:ascii="Times New Roman" w:hAnsi="Times New Roman" w:cs="Times New Roman"/>
          <w:b/>
          <w:bCs/>
        </w:rPr>
      </w:pPr>
      <w:r w:rsidRPr="00536A6B">
        <w:rPr>
          <w:rFonts w:ascii="Times New Roman" w:hAnsi="Times New Roman" w:cs="Times New Roman"/>
          <w:b/>
          <w:bCs/>
        </w:rPr>
        <w:t>Yürürlük</w:t>
      </w:r>
    </w:p>
    <w:p w14:paraId="045C321D" w14:textId="77777777" w:rsidR="00870B72" w:rsidRPr="00536A6B" w:rsidRDefault="00870B72" w:rsidP="00870B72">
      <w:pPr>
        <w:ind w:left="-567" w:firstLine="567"/>
        <w:jc w:val="both"/>
        <w:rPr>
          <w:rFonts w:ascii="Times New Roman" w:hAnsi="Times New Roman" w:cs="Times New Roman"/>
        </w:rPr>
      </w:pPr>
      <w:r w:rsidRPr="00536A6B">
        <w:rPr>
          <w:rFonts w:ascii="Times New Roman" w:hAnsi="Times New Roman" w:cs="Times New Roman"/>
          <w:b/>
          <w:bCs/>
        </w:rPr>
        <w:t>MADDE 9</w:t>
      </w:r>
      <w:r w:rsidRPr="00536A6B">
        <w:rPr>
          <w:rFonts w:ascii="Times New Roman" w:hAnsi="Times New Roman" w:cs="Times New Roman"/>
        </w:rPr>
        <w:t xml:space="preserve"> –(1) Bu Yönerge Antalya Belek Üniversitesi Senatosu tarafından kabul edildiği tarihten itibaren yürürlüğe girer.</w:t>
      </w:r>
    </w:p>
    <w:p w14:paraId="5FFB37F5" w14:textId="77777777" w:rsidR="00870B72" w:rsidRPr="00536A6B" w:rsidRDefault="00870B72" w:rsidP="00870B72">
      <w:pPr>
        <w:ind w:left="-567" w:firstLine="567"/>
        <w:jc w:val="both"/>
        <w:rPr>
          <w:rFonts w:ascii="Times New Roman" w:hAnsi="Times New Roman" w:cs="Times New Roman"/>
          <w:b/>
          <w:bCs/>
        </w:rPr>
      </w:pPr>
      <w:r w:rsidRPr="00536A6B">
        <w:rPr>
          <w:rFonts w:ascii="Times New Roman" w:hAnsi="Times New Roman" w:cs="Times New Roman"/>
          <w:b/>
          <w:bCs/>
        </w:rPr>
        <w:t>Yürütme</w:t>
      </w:r>
    </w:p>
    <w:p w14:paraId="439E9F66" w14:textId="77777777" w:rsidR="00870B72" w:rsidRDefault="00870B72" w:rsidP="00870B72">
      <w:pPr>
        <w:ind w:left="-567" w:firstLine="567"/>
        <w:jc w:val="both"/>
      </w:pPr>
      <w:r w:rsidRPr="00536A6B">
        <w:rPr>
          <w:rFonts w:ascii="Times New Roman" w:hAnsi="Times New Roman" w:cs="Times New Roman"/>
          <w:b/>
          <w:bCs/>
        </w:rPr>
        <w:t>MADDE 10-</w:t>
      </w:r>
      <w:r w:rsidRPr="00536A6B">
        <w:rPr>
          <w:rFonts w:ascii="Times New Roman" w:hAnsi="Times New Roman" w:cs="Times New Roman"/>
        </w:rPr>
        <w:t>(1) Bu yönergenin hükümlerini Antalya Belek Üniversitesi Rektörü yürütü</w:t>
      </w:r>
      <w:r w:rsidRPr="00364D96">
        <w:t>r.</w:t>
      </w:r>
    </w:p>
    <w:p w14:paraId="77938ADD" w14:textId="77777777" w:rsidR="00870B72" w:rsidRDefault="00870B72" w:rsidP="00870B72">
      <w:pPr>
        <w:ind w:left="-567" w:firstLine="567"/>
        <w:jc w:val="both"/>
      </w:pPr>
    </w:p>
    <w:p w14:paraId="16534C83" w14:textId="77777777" w:rsidR="00870B72" w:rsidRDefault="00870B72" w:rsidP="00870B72">
      <w:pPr>
        <w:ind w:left="-567" w:firstLine="567"/>
        <w:jc w:val="both"/>
      </w:pPr>
    </w:p>
    <w:p w14:paraId="30B47276" w14:textId="77777777" w:rsidR="00400F7D" w:rsidRDefault="00400F7D" w:rsidP="00400F7D">
      <w:pPr>
        <w:pStyle w:val="GvdeMetni"/>
        <w:ind w:left="0" w:firstLine="0"/>
        <w:rPr>
          <w:rFonts w:ascii="Times New Roman" w:hAnsi="Times New Roman" w:cs="Times New Roman"/>
          <w:sz w:val="24"/>
          <w:szCs w:val="24"/>
        </w:rPr>
      </w:pPr>
    </w:p>
    <w:tbl>
      <w:tblPr>
        <w:tblStyle w:val="TabloKlavuzu"/>
        <w:tblW w:w="0" w:type="auto"/>
        <w:tblInd w:w="103" w:type="dxa"/>
        <w:tblLook w:val="04A0" w:firstRow="1" w:lastRow="0" w:firstColumn="1" w:lastColumn="0" w:noHBand="0" w:noVBand="1"/>
      </w:tblPr>
      <w:tblGrid>
        <w:gridCol w:w="4531"/>
        <w:gridCol w:w="4531"/>
      </w:tblGrid>
      <w:tr w:rsidR="00400F7D" w:rsidRPr="00870B72" w14:paraId="7E196006" w14:textId="77777777" w:rsidTr="00A74B74">
        <w:trPr>
          <w:trHeight w:val="283"/>
        </w:trPr>
        <w:tc>
          <w:tcPr>
            <w:tcW w:w="9062" w:type="dxa"/>
            <w:gridSpan w:val="2"/>
            <w:vAlign w:val="center"/>
          </w:tcPr>
          <w:p w14:paraId="1597DD81" w14:textId="77777777" w:rsidR="00400F7D" w:rsidRPr="00870B72" w:rsidRDefault="00400F7D" w:rsidP="00A74B74">
            <w:pPr>
              <w:pStyle w:val="NormalWeb"/>
              <w:spacing w:before="0" w:beforeAutospacing="0" w:after="0" w:afterAutospacing="0"/>
              <w:ind w:right="-142"/>
              <w:jc w:val="center"/>
              <w:rPr>
                <w:b/>
                <w:bCs/>
                <w:color w:val="000000"/>
              </w:rPr>
            </w:pPr>
            <w:r w:rsidRPr="00870B72">
              <w:rPr>
                <w:b/>
                <w:bCs/>
                <w:color w:val="000000"/>
              </w:rPr>
              <w:t>YÖNERGENİN KABUL EDİLDİĞİ SENATONUN</w:t>
            </w:r>
          </w:p>
        </w:tc>
      </w:tr>
      <w:tr w:rsidR="00400F7D" w:rsidRPr="00870B72" w14:paraId="395FF1C9" w14:textId="77777777" w:rsidTr="00A74B74">
        <w:trPr>
          <w:trHeight w:val="283"/>
        </w:trPr>
        <w:tc>
          <w:tcPr>
            <w:tcW w:w="4531" w:type="dxa"/>
            <w:vAlign w:val="center"/>
          </w:tcPr>
          <w:p w14:paraId="2E85AEEE" w14:textId="77777777" w:rsidR="00400F7D" w:rsidRPr="00870B72" w:rsidRDefault="00400F7D" w:rsidP="00A74B74">
            <w:pPr>
              <w:pStyle w:val="NormalWeb"/>
              <w:spacing w:before="0" w:beforeAutospacing="0" w:after="0" w:afterAutospacing="0"/>
              <w:ind w:right="-142"/>
              <w:jc w:val="center"/>
              <w:rPr>
                <w:b/>
                <w:bCs/>
                <w:color w:val="000000"/>
              </w:rPr>
            </w:pPr>
            <w:r w:rsidRPr="00870B72">
              <w:rPr>
                <w:b/>
                <w:bCs/>
                <w:color w:val="000000"/>
              </w:rPr>
              <w:t>TARİH</w:t>
            </w:r>
          </w:p>
        </w:tc>
        <w:tc>
          <w:tcPr>
            <w:tcW w:w="4531" w:type="dxa"/>
            <w:vAlign w:val="center"/>
          </w:tcPr>
          <w:p w14:paraId="5994B7E7" w14:textId="77777777" w:rsidR="00400F7D" w:rsidRPr="00870B72" w:rsidRDefault="00400F7D" w:rsidP="00A74B74">
            <w:pPr>
              <w:pStyle w:val="NormalWeb"/>
              <w:spacing w:before="0" w:beforeAutospacing="0" w:after="0" w:afterAutospacing="0"/>
              <w:ind w:right="-142"/>
              <w:jc w:val="center"/>
              <w:rPr>
                <w:b/>
                <w:bCs/>
                <w:color w:val="000000"/>
              </w:rPr>
            </w:pPr>
            <w:r w:rsidRPr="00870B72">
              <w:rPr>
                <w:b/>
                <w:bCs/>
                <w:color w:val="000000"/>
              </w:rPr>
              <w:t>SAYISI</w:t>
            </w:r>
          </w:p>
        </w:tc>
      </w:tr>
      <w:tr w:rsidR="00400F7D" w:rsidRPr="00870B72" w14:paraId="6DBA76C0" w14:textId="77777777" w:rsidTr="00A74B74">
        <w:trPr>
          <w:trHeight w:val="283"/>
        </w:trPr>
        <w:tc>
          <w:tcPr>
            <w:tcW w:w="4531" w:type="dxa"/>
            <w:vAlign w:val="center"/>
          </w:tcPr>
          <w:p w14:paraId="30CB6FD5" w14:textId="5600B319" w:rsidR="00400F7D" w:rsidRPr="00870B72" w:rsidRDefault="00870B72" w:rsidP="00A74B74">
            <w:pPr>
              <w:pStyle w:val="NormalWeb"/>
              <w:spacing w:before="0" w:beforeAutospacing="0" w:after="0" w:afterAutospacing="0"/>
              <w:ind w:right="-142"/>
              <w:jc w:val="center"/>
              <w:rPr>
                <w:b/>
                <w:bCs/>
                <w:color w:val="000000"/>
              </w:rPr>
            </w:pPr>
            <w:r w:rsidRPr="00870B72">
              <w:rPr>
                <w:b/>
                <w:bCs/>
              </w:rPr>
              <w:t>31/07/2025</w:t>
            </w:r>
          </w:p>
        </w:tc>
        <w:tc>
          <w:tcPr>
            <w:tcW w:w="4531" w:type="dxa"/>
            <w:vAlign w:val="center"/>
          </w:tcPr>
          <w:p w14:paraId="078E009F" w14:textId="33DCC09B" w:rsidR="00400F7D" w:rsidRPr="00870B72" w:rsidRDefault="00870B72" w:rsidP="00A74B74">
            <w:pPr>
              <w:pStyle w:val="NormalWeb"/>
              <w:spacing w:before="0" w:beforeAutospacing="0" w:after="0" w:afterAutospacing="0"/>
              <w:ind w:right="-142"/>
              <w:jc w:val="center"/>
              <w:rPr>
                <w:b/>
                <w:bCs/>
                <w:color w:val="000000"/>
              </w:rPr>
            </w:pPr>
            <w:r w:rsidRPr="00870B72">
              <w:rPr>
                <w:b/>
                <w:bCs/>
              </w:rPr>
              <w:t>2025/15</w:t>
            </w:r>
          </w:p>
        </w:tc>
      </w:tr>
    </w:tbl>
    <w:p w14:paraId="256A9D49" w14:textId="77777777" w:rsidR="00400F7D" w:rsidRPr="00FD11FB" w:rsidRDefault="00400F7D" w:rsidP="00400F7D">
      <w:pPr>
        <w:pStyle w:val="GvdeMetni"/>
        <w:ind w:left="0" w:firstLine="0"/>
        <w:rPr>
          <w:rFonts w:ascii="Times New Roman" w:hAnsi="Times New Roman" w:cs="Times New Roman"/>
          <w:sz w:val="24"/>
          <w:szCs w:val="24"/>
        </w:rPr>
      </w:pPr>
    </w:p>
    <w:sectPr w:rsidR="00400F7D" w:rsidRPr="00FD11FB" w:rsidSect="00870B72">
      <w:headerReference w:type="default" r:id="rId8"/>
      <w:footerReference w:type="default" r:id="rId9"/>
      <w:pgSz w:w="11900" w:h="16840"/>
      <w:pgMar w:top="1380" w:right="1160" w:bottom="280" w:left="1320" w:header="567" w:footer="283"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A9A136" w14:textId="77777777" w:rsidR="00441A8C" w:rsidRDefault="00441A8C" w:rsidP="00FD11FB">
      <w:r>
        <w:separator/>
      </w:r>
    </w:p>
  </w:endnote>
  <w:endnote w:type="continuationSeparator" w:id="0">
    <w:p w14:paraId="089DBAEA" w14:textId="77777777" w:rsidR="00441A8C" w:rsidRDefault="00441A8C" w:rsidP="00FD11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0002AFF" w:usb1="C000ACFF"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oKlavuzu"/>
      <w:tblW w:w="10236" w:type="dxa"/>
      <w:tblInd w:w="-318" w:type="dxa"/>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ook w:val="04A0" w:firstRow="1" w:lastRow="0" w:firstColumn="1" w:lastColumn="0" w:noHBand="0" w:noVBand="1"/>
    </w:tblPr>
    <w:tblGrid>
      <w:gridCol w:w="3687"/>
      <w:gridCol w:w="3260"/>
      <w:gridCol w:w="3289"/>
    </w:tblGrid>
    <w:tr w:rsidR="00FD11FB" w:rsidRPr="00870B72" w14:paraId="7473FDBB" w14:textId="77777777" w:rsidTr="00A74B74">
      <w:trPr>
        <w:trHeight w:val="434"/>
      </w:trPr>
      <w:tc>
        <w:tcPr>
          <w:tcW w:w="3687" w:type="dxa"/>
          <w:vAlign w:val="center"/>
        </w:tcPr>
        <w:p w14:paraId="2889F6CD" w14:textId="77777777" w:rsidR="00FD11FB" w:rsidRPr="00870B72" w:rsidRDefault="00FD11FB" w:rsidP="00FD11FB">
          <w:pPr>
            <w:pStyle w:val="AltBilgi"/>
            <w:jc w:val="center"/>
            <w:rPr>
              <w:rFonts w:ascii="Times New Roman" w:hAnsi="Times New Roman" w:cs="Times New Roman"/>
              <w:b/>
              <w:bCs/>
              <w:sz w:val="24"/>
              <w:szCs w:val="24"/>
            </w:rPr>
          </w:pPr>
          <w:r w:rsidRPr="00870B72">
            <w:rPr>
              <w:rFonts w:ascii="Times New Roman" w:hAnsi="Times New Roman" w:cs="Times New Roman"/>
              <w:b/>
              <w:bCs/>
              <w:sz w:val="24"/>
              <w:szCs w:val="24"/>
            </w:rPr>
            <w:t>Hazırlayan</w:t>
          </w:r>
        </w:p>
      </w:tc>
      <w:tc>
        <w:tcPr>
          <w:tcW w:w="3260" w:type="dxa"/>
          <w:vAlign w:val="center"/>
        </w:tcPr>
        <w:p w14:paraId="4FCDED8A" w14:textId="77777777" w:rsidR="00FD11FB" w:rsidRPr="00870B72" w:rsidRDefault="00FD11FB" w:rsidP="00FD11FB">
          <w:pPr>
            <w:pStyle w:val="AltBilgi"/>
            <w:jc w:val="center"/>
            <w:rPr>
              <w:rFonts w:ascii="Times New Roman" w:hAnsi="Times New Roman" w:cs="Times New Roman"/>
              <w:b/>
              <w:bCs/>
              <w:sz w:val="24"/>
              <w:szCs w:val="24"/>
            </w:rPr>
          </w:pPr>
          <w:r w:rsidRPr="00870B72">
            <w:rPr>
              <w:rFonts w:ascii="Times New Roman" w:hAnsi="Times New Roman" w:cs="Times New Roman"/>
              <w:b/>
              <w:bCs/>
              <w:sz w:val="24"/>
              <w:szCs w:val="24"/>
            </w:rPr>
            <w:t>Kontrol Eden</w:t>
          </w:r>
        </w:p>
      </w:tc>
      <w:tc>
        <w:tcPr>
          <w:tcW w:w="3289" w:type="dxa"/>
          <w:vAlign w:val="center"/>
        </w:tcPr>
        <w:p w14:paraId="2A1EA385" w14:textId="77777777" w:rsidR="00FD11FB" w:rsidRPr="00870B72" w:rsidRDefault="00FD11FB" w:rsidP="00FD11FB">
          <w:pPr>
            <w:pStyle w:val="AltBilgi"/>
            <w:jc w:val="center"/>
            <w:rPr>
              <w:rFonts w:ascii="Times New Roman" w:hAnsi="Times New Roman" w:cs="Times New Roman"/>
              <w:b/>
              <w:bCs/>
              <w:sz w:val="24"/>
              <w:szCs w:val="24"/>
            </w:rPr>
          </w:pPr>
          <w:r w:rsidRPr="00870B72">
            <w:rPr>
              <w:rFonts w:ascii="Times New Roman" w:hAnsi="Times New Roman" w:cs="Times New Roman"/>
              <w:b/>
              <w:bCs/>
              <w:sz w:val="24"/>
              <w:szCs w:val="24"/>
            </w:rPr>
            <w:t>Yayın Onayı</w:t>
          </w:r>
        </w:p>
      </w:tc>
    </w:tr>
    <w:tr w:rsidR="00FD11FB" w:rsidRPr="00870B72" w14:paraId="0807243D" w14:textId="77777777" w:rsidTr="00A74B74">
      <w:trPr>
        <w:trHeight w:val="464"/>
      </w:trPr>
      <w:tc>
        <w:tcPr>
          <w:tcW w:w="3687" w:type="dxa"/>
          <w:vAlign w:val="center"/>
        </w:tcPr>
        <w:p w14:paraId="20D9D5AA" w14:textId="77777777" w:rsidR="00FD11FB" w:rsidRPr="00870B72" w:rsidRDefault="00FD11FB" w:rsidP="00FD11FB">
          <w:pPr>
            <w:pStyle w:val="stBilgi"/>
            <w:jc w:val="center"/>
            <w:rPr>
              <w:rFonts w:ascii="Times New Roman" w:hAnsi="Times New Roman" w:cs="Times New Roman"/>
              <w:sz w:val="24"/>
              <w:szCs w:val="24"/>
            </w:rPr>
          </w:pPr>
          <w:r w:rsidRPr="00870B72">
            <w:rPr>
              <w:rFonts w:ascii="Times New Roman" w:hAnsi="Times New Roman" w:cs="Times New Roman"/>
              <w:sz w:val="24"/>
              <w:szCs w:val="24"/>
            </w:rPr>
            <w:t>Öğrenci İşleri Daire Başkanlığı</w:t>
          </w:r>
        </w:p>
      </w:tc>
      <w:tc>
        <w:tcPr>
          <w:tcW w:w="3260" w:type="dxa"/>
          <w:vAlign w:val="center"/>
        </w:tcPr>
        <w:p w14:paraId="5FE68F6E" w14:textId="77777777" w:rsidR="00FD11FB" w:rsidRPr="00870B72" w:rsidRDefault="00FD11FB" w:rsidP="00FD11FB">
          <w:pPr>
            <w:pStyle w:val="AltBilgi"/>
            <w:jc w:val="center"/>
            <w:rPr>
              <w:rFonts w:ascii="Times New Roman" w:hAnsi="Times New Roman" w:cs="Times New Roman"/>
              <w:sz w:val="24"/>
              <w:szCs w:val="24"/>
            </w:rPr>
          </w:pPr>
          <w:r w:rsidRPr="00870B72">
            <w:rPr>
              <w:rFonts w:ascii="Times New Roman" w:hAnsi="Times New Roman" w:cs="Times New Roman"/>
              <w:sz w:val="24"/>
              <w:szCs w:val="24"/>
            </w:rPr>
            <w:t>Kalite Koordinatörlüğü</w:t>
          </w:r>
        </w:p>
      </w:tc>
      <w:tc>
        <w:tcPr>
          <w:tcW w:w="3289" w:type="dxa"/>
          <w:vAlign w:val="center"/>
        </w:tcPr>
        <w:p w14:paraId="2B196367" w14:textId="77777777" w:rsidR="00FD11FB" w:rsidRPr="00870B72" w:rsidRDefault="00FD11FB" w:rsidP="00FD11FB">
          <w:pPr>
            <w:pStyle w:val="AltBilgi"/>
            <w:jc w:val="center"/>
            <w:rPr>
              <w:rFonts w:ascii="Times New Roman" w:hAnsi="Times New Roman" w:cs="Times New Roman"/>
              <w:sz w:val="24"/>
              <w:szCs w:val="24"/>
            </w:rPr>
          </w:pPr>
          <w:r w:rsidRPr="00870B72">
            <w:rPr>
              <w:rFonts w:ascii="Times New Roman" w:hAnsi="Times New Roman" w:cs="Times New Roman"/>
              <w:sz w:val="24"/>
              <w:szCs w:val="24"/>
            </w:rPr>
            <w:t>Rektör Yardımcısı</w:t>
          </w:r>
        </w:p>
      </w:tc>
    </w:tr>
  </w:tbl>
  <w:p w14:paraId="66BF0D6D" w14:textId="77777777" w:rsidR="00FD11FB" w:rsidRDefault="00FD11FB">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2CE740" w14:textId="77777777" w:rsidR="00441A8C" w:rsidRDefault="00441A8C" w:rsidP="00FD11FB">
      <w:r>
        <w:separator/>
      </w:r>
    </w:p>
  </w:footnote>
  <w:footnote w:type="continuationSeparator" w:id="0">
    <w:p w14:paraId="5031ADE7" w14:textId="77777777" w:rsidR="00441A8C" w:rsidRDefault="00441A8C" w:rsidP="00FD11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oKlavuzu"/>
      <w:tblW w:w="9668" w:type="dxa"/>
      <w:tblInd w:w="250" w:type="dxa"/>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ook w:val="04A0" w:firstRow="1" w:lastRow="0" w:firstColumn="1" w:lastColumn="0" w:noHBand="0" w:noVBand="1"/>
    </w:tblPr>
    <w:tblGrid>
      <w:gridCol w:w="2593"/>
      <w:gridCol w:w="3933"/>
      <w:gridCol w:w="1607"/>
      <w:gridCol w:w="1535"/>
    </w:tblGrid>
    <w:tr w:rsidR="00FD11FB" w:rsidRPr="00FD11FB" w14:paraId="6EBEBF0F" w14:textId="77777777" w:rsidTr="00A74B74">
      <w:trPr>
        <w:trHeight w:val="170"/>
      </w:trPr>
      <w:tc>
        <w:tcPr>
          <w:tcW w:w="1487" w:type="dxa"/>
          <w:vMerge w:val="restart"/>
          <w:vAlign w:val="center"/>
        </w:tcPr>
        <w:p w14:paraId="12805840" w14:textId="77777777" w:rsidR="00FD11FB" w:rsidRPr="00FD11FB" w:rsidRDefault="00FD11FB" w:rsidP="00FD11FB">
          <w:pPr>
            <w:pStyle w:val="stBilgi"/>
            <w:rPr>
              <w:rFonts w:ascii="Times New Roman" w:hAnsi="Times New Roman" w:cs="Times New Roman"/>
              <w:sz w:val="32"/>
              <w:szCs w:val="32"/>
            </w:rPr>
          </w:pPr>
          <w:r w:rsidRPr="00FD11FB">
            <w:rPr>
              <w:rFonts w:ascii="Times New Roman" w:hAnsi="Times New Roman" w:cs="Times New Roman"/>
              <w:noProof/>
              <w:lang w:eastAsia="tr-TR"/>
            </w:rPr>
            <w:drawing>
              <wp:inline distT="0" distB="0" distL="0" distR="0" wp14:anchorId="02FD63DC" wp14:editId="4DEC9E5A">
                <wp:extent cx="1510026" cy="632460"/>
                <wp:effectExtent l="0" t="0" r="0" b="0"/>
                <wp:docPr id="1348267312" name="Resim 13482673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3557" cy="638127"/>
                        </a:xfrm>
                        <a:prstGeom prst="rect">
                          <a:avLst/>
                        </a:prstGeom>
                        <a:noFill/>
                        <a:ln>
                          <a:noFill/>
                        </a:ln>
                      </pic:spPr>
                    </pic:pic>
                  </a:graphicData>
                </a:graphic>
              </wp:inline>
            </w:drawing>
          </w:r>
        </w:p>
      </w:tc>
      <w:tc>
        <w:tcPr>
          <w:tcW w:w="4790" w:type="dxa"/>
          <w:vMerge w:val="restart"/>
          <w:vAlign w:val="center"/>
        </w:tcPr>
        <w:p w14:paraId="60C6408D" w14:textId="77777777" w:rsidR="00FD11FB" w:rsidRPr="00FD11FB" w:rsidRDefault="00FD11FB" w:rsidP="00FD11FB">
          <w:pPr>
            <w:pStyle w:val="stBilgi"/>
            <w:jc w:val="center"/>
            <w:rPr>
              <w:rFonts w:ascii="Times New Roman" w:hAnsi="Times New Roman" w:cs="Times New Roman"/>
              <w:b/>
              <w:bCs/>
              <w:sz w:val="20"/>
              <w:szCs w:val="20"/>
            </w:rPr>
          </w:pPr>
          <w:r w:rsidRPr="00FD11FB">
            <w:rPr>
              <w:rFonts w:ascii="Times New Roman" w:hAnsi="Times New Roman" w:cs="Times New Roman"/>
              <w:b/>
              <w:bCs/>
              <w:sz w:val="20"/>
              <w:szCs w:val="20"/>
            </w:rPr>
            <w:t>ANTALYA BELEK ÜNİVERSİTESİ</w:t>
          </w:r>
        </w:p>
        <w:p w14:paraId="30A74EFE" w14:textId="77777777" w:rsidR="00FD11FB" w:rsidRPr="00FD11FB" w:rsidRDefault="00FD11FB" w:rsidP="00FD11FB">
          <w:pPr>
            <w:pStyle w:val="stBilgi"/>
            <w:jc w:val="center"/>
            <w:rPr>
              <w:rFonts w:ascii="Times New Roman" w:hAnsi="Times New Roman" w:cs="Times New Roman"/>
              <w:b/>
              <w:bCs/>
              <w:sz w:val="20"/>
              <w:szCs w:val="20"/>
            </w:rPr>
          </w:pPr>
          <w:r w:rsidRPr="00FD11FB">
            <w:rPr>
              <w:rFonts w:ascii="Times New Roman" w:hAnsi="Times New Roman" w:cs="Times New Roman"/>
              <w:b/>
              <w:bCs/>
              <w:sz w:val="20"/>
              <w:szCs w:val="20"/>
            </w:rPr>
            <w:t>ÖĞRENCİ İŞLERİ DAİRE BAŞKANLIĞI</w:t>
          </w:r>
        </w:p>
        <w:p w14:paraId="1D8E4416" w14:textId="31FE926C" w:rsidR="00FD11FB" w:rsidRPr="00FD11FB" w:rsidRDefault="00CC3FFD" w:rsidP="00FD11FB">
          <w:pPr>
            <w:pStyle w:val="stBilgi"/>
            <w:jc w:val="center"/>
            <w:rPr>
              <w:rFonts w:ascii="Times New Roman" w:hAnsi="Times New Roman" w:cs="Times New Roman"/>
              <w:b/>
              <w:bCs/>
              <w:sz w:val="20"/>
              <w:szCs w:val="20"/>
            </w:rPr>
          </w:pPr>
          <w:r>
            <w:rPr>
              <w:rFonts w:ascii="Times New Roman" w:hAnsi="Times New Roman" w:cs="Times New Roman"/>
              <w:b/>
              <w:bCs/>
              <w:sz w:val="20"/>
              <w:szCs w:val="20"/>
            </w:rPr>
            <w:t>MUAFİYET VE İNTİBAK İŞLEMLERİ YÖNERGESİ</w:t>
          </w:r>
          <w:r w:rsidR="00FD11FB" w:rsidRPr="00FD11FB">
            <w:rPr>
              <w:rFonts w:ascii="Times New Roman" w:hAnsi="Times New Roman" w:cs="Times New Roman"/>
              <w:b/>
              <w:bCs/>
              <w:sz w:val="20"/>
              <w:szCs w:val="20"/>
            </w:rPr>
            <w:t xml:space="preserve"> </w:t>
          </w:r>
        </w:p>
      </w:tc>
      <w:tc>
        <w:tcPr>
          <w:tcW w:w="1833" w:type="dxa"/>
        </w:tcPr>
        <w:p w14:paraId="75D6C35A" w14:textId="77777777" w:rsidR="00FD11FB" w:rsidRPr="00FD11FB" w:rsidRDefault="00FD11FB" w:rsidP="00FD11FB">
          <w:pPr>
            <w:pStyle w:val="stBilgi"/>
            <w:rPr>
              <w:rFonts w:ascii="Times New Roman" w:hAnsi="Times New Roman" w:cs="Times New Roman"/>
              <w:sz w:val="20"/>
              <w:szCs w:val="20"/>
            </w:rPr>
          </w:pPr>
          <w:r w:rsidRPr="00FD11FB">
            <w:rPr>
              <w:rFonts w:ascii="Times New Roman" w:hAnsi="Times New Roman" w:cs="Times New Roman"/>
              <w:sz w:val="20"/>
              <w:szCs w:val="20"/>
            </w:rPr>
            <w:t>Doküman No:</w:t>
          </w:r>
        </w:p>
      </w:tc>
      <w:tc>
        <w:tcPr>
          <w:tcW w:w="1558" w:type="dxa"/>
        </w:tcPr>
        <w:p w14:paraId="4B1138D9" w14:textId="7C8F857E" w:rsidR="00FD11FB" w:rsidRPr="00FD11FB" w:rsidRDefault="00FD11FB" w:rsidP="00FD11FB">
          <w:pPr>
            <w:pStyle w:val="stBilgi"/>
            <w:rPr>
              <w:rFonts w:ascii="Times New Roman" w:hAnsi="Times New Roman" w:cs="Times New Roman"/>
              <w:sz w:val="20"/>
              <w:szCs w:val="20"/>
            </w:rPr>
          </w:pPr>
          <w:r w:rsidRPr="00FD11FB">
            <w:rPr>
              <w:rFonts w:ascii="Times New Roman" w:hAnsi="Times New Roman" w:cs="Times New Roman"/>
              <w:sz w:val="20"/>
              <w:szCs w:val="20"/>
            </w:rPr>
            <w:t>OGR.YNG.00</w:t>
          </w:r>
          <w:r>
            <w:rPr>
              <w:rFonts w:ascii="Times New Roman" w:hAnsi="Times New Roman" w:cs="Times New Roman"/>
              <w:sz w:val="20"/>
              <w:szCs w:val="20"/>
            </w:rPr>
            <w:t>6</w:t>
          </w:r>
        </w:p>
      </w:tc>
    </w:tr>
    <w:tr w:rsidR="00FD11FB" w:rsidRPr="00FD11FB" w14:paraId="7A5507E7" w14:textId="77777777" w:rsidTr="00A74B74">
      <w:trPr>
        <w:trHeight w:val="154"/>
      </w:trPr>
      <w:tc>
        <w:tcPr>
          <w:tcW w:w="1487" w:type="dxa"/>
          <w:vMerge/>
          <w:vAlign w:val="center"/>
        </w:tcPr>
        <w:p w14:paraId="26B4A7AC" w14:textId="77777777" w:rsidR="00FD11FB" w:rsidRPr="00FD11FB" w:rsidRDefault="00FD11FB" w:rsidP="00FD11FB">
          <w:pPr>
            <w:pStyle w:val="stBilgi"/>
            <w:rPr>
              <w:rFonts w:ascii="Times New Roman" w:hAnsi="Times New Roman" w:cs="Times New Roman"/>
              <w:noProof/>
              <w:lang w:eastAsia="tr-TR"/>
            </w:rPr>
          </w:pPr>
        </w:p>
      </w:tc>
      <w:tc>
        <w:tcPr>
          <w:tcW w:w="4790" w:type="dxa"/>
          <w:vMerge/>
          <w:vAlign w:val="center"/>
        </w:tcPr>
        <w:p w14:paraId="7B9149D2" w14:textId="77777777" w:rsidR="00FD11FB" w:rsidRPr="00FD11FB" w:rsidRDefault="00FD11FB" w:rsidP="00FD11FB">
          <w:pPr>
            <w:pStyle w:val="stBilgi"/>
            <w:rPr>
              <w:rFonts w:ascii="Times New Roman" w:hAnsi="Times New Roman" w:cs="Times New Roman"/>
              <w:sz w:val="20"/>
              <w:szCs w:val="20"/>
            </w:rPr>
          </w:pPr>
        </w:p>
      </w:tc>
      <w:tc>
        <w:tcPr>
          <w:tcW w:w="1833" w:type="dxa"/>
        </w:tcPr>
        <w:p w14:paraId="0FCA036A" w14:textId="77777777" w:rsidR="00FD11FB" w:rsidRPr="00FD11FB" w:rsidRDefault="00FD11FB" w:rsidP="00FD11FB">
          <w:pPr>
            <w:pStyle w:val="stBilgi"/>
            <w:rPr>
              <w:rFonts w:ascii="Times New Roman" w:hAnsi="Times New Roman" w:cs="Times New Roman"/>
              <w:sz w:val="20"/>
              <w:szCs w:val="20"/>
            </w:rPr>
          </w:pPr>
          <w:r w:rsidRPr="00FD11FB">
            <w:rPr>
              <w:rFonts w:ascii="Times New Roman" w:hAnsi="Times New Roman" w:cs="Times New Roman"/>
              <w:sz w:val="20"/>
              <w:szCs w:val="20"/>
            </w:rPr>
            <w:t>İlk Yayın Tarihi:</w:t>
          </w:r>
        </w:p>
      </w:tc>
      <w:tc>
        <w:tcPr>
          <w:tcW w:w="1558" w:type="dxa"/>
        </w:tcPr>
        <w:p w14:paraId="53F1B261" w14:textId="33737ECB" w:rsidR="00FD11FB" w:rsidRPr="00FD11FB" w:rsidRDefault="004D5A26" w:rsidP="00FD11FB">
          <w:pPr>
            <w:pStyle w:val="stBilgi"/>
            <w:rPr>
              <w:rFonts w:ascii="Times New Roman" w:hAnsi="Times New Roman" w:cs="Times New Roman"/>
              <w:sz w:val="20"/>
              <w:szCs w:val="20"/>
            </w:rPr>
          </w:pPr>
          <w:r>
            <w:rPr>
              <w:rFonts w:ascii="Times New Roman" w:hAnsi="Times New Roman" w:cs="Times New Roman"/>
              <w:sz w:val="20"/>
              <w:szCs w:val="20"/>
            </w:rPr>
            <w:t>31</w:t>
          </w:r>
          <w:r w:rsidR="00FD11FB" w:rsidRPr="00FD11FB">
            <w:rPr>
              <w:rFonts w:ascii="Times New Roman" w:hAnsi="Times New Roman" w:cs="Times New Roman"/>
              <w:sz w:val="20"/>
              <w:szCs w:val="20"/>
            </w:rPr>
            <w:t>.07.2025</w:t>
          </w:r>
        </w:p>
      </w:tc>
    </w:tr>
    <w:tr w:rsidR="00FD11FB" w:rsidRPr="00FD11FB" w14:paraId="0B080842" w14:textId="77777777" w:rsidTr="00A74B74">
      <w:trPr>
        <w:trHeight w:val="154"/>
      </w:trPr>
      <w:tc>
        <w:tcPr>
          <w:tcW w:w="1487" w:type="dxa"/>
          <w:vMerge/>
          <w:vAlign w:val="center"/>
        </w:tcPr>
        <w:p w14:paraId="2B1D32DD" w14:textId="77777777" w:rsidR="00FD11FB" w:rsidRPr="00FD11FB" w:rsidRDefault="00FD11FB" w:rsidP="00FD11FB">
          <w:pPr>
            <w:pStyle w:val="stBilgi"/>
            <w:rPr>
              <w:rFonts w:ascii="Times New Roman" w:hAnsi="Times New Roman" w:cs="Times New Roman"/>
              <w:noProof/>
              <w:lang w:eastAsia="tr-TR"/>
            </w:rPr>
          </w:pPr>
        </w:p>
      </w:tc>
      <w:tc>
        <w:tcPr>
          <w:tcW w:w="4790" w:type="dxa"/>
          <w:vMerge/>
          <w:vAlign w:val="center"/>
        </w:tcPr>
        <w:p w14:paraId="1A350B33" w14:textId="77777777" w:rsidR="00FD11FB" w:rsidRPr="00FD11FB" w:rsidRDefault="00FD11FB" w:rsidP="00FD11FB">
          <w:pPr>
            <w:pStyle w:val="stBilgi"/>
            <w:rPr>
              <w:rFonts w:ascii="Times New Roman" w:hAnsi="Times New Roman" w:cs="Times New Roman"/>
              <w:sz w:val="20"/>
              <w:szCs w:val="20"/>
            </w:rPr>
          </w:pPr>
        </w:p>
      </w:tc>
      <w:tc>
        <w:tcPr>
          <w:tcW w:w="1833" w:type="dxa"/>
        </w:tcPr>
        <w:p w14:paraId="7FFB5EDE" w14:textId="77777777" w:rsidR="00FD11FB" w:rsidRPr="00FD11FB" w:rsidRDefault="00FD11FB" w:rsidP="00FD11FB">
          <w:pPr>
            <w:pStyle w:val="stBilgi"/>
            <w:rPr>
              <w:rFonts w:ascii="Times New Roman" w:hAnsi="Times New Roman" w:cs="Times New Roman"/>
              <w:sz w:val="20"/>
              <w:szCs w:val="20"/>
            </w:rPr>
          </w:pPr>
          <w:r w:rsidRPr="00FD11FB">
            <w:rPr>
              <w:rFonts w:ascii="Times New Roman" w:hAnsi="Times New Roman" w:cs="Times New Roman"/>
              <w:sz w:val="20"/>
              <w:szCs w:val="20"/>
            </w:rPr>
            <w:t>Revizyon Tarihi:</w:t>
          </w:r>
        </w:p>
      </w:tc>
      <w:tc>
        <w:tcPr>
          <w:tcW w:w="1558" w:type="dxa"/>
        </w:tcPr>
        <w:p w14:paraId="69736574" w14:textId="77777777" w:rsidR="00FD11FB" w:rsidRPr="00FD11FB" w:rsidRDefault="00FD11FB" w:rsidP="00FD11FB">
          <w:pPr>
            <w:pStyle w:val="stBilgi"/>
            <w:rPr>
              <w:rFonts w:ascii="Times New Roman" w:hAnsi="Times New Roman" w:cs="Times New Roman"/>
              <w:sz w:val="20"/>
              <w:szCs w:val="20"/>
            </w:rPr>
          </w:pPr>
          <w:r w:rsidRPr="00FD11FB">
            <w:rPr>
              <w:rFonts w:ascii="Times New Roman" w:hAnsi="Times New Roman" w:cs="Times New Roman"/>
              <w:sz w:val="20"/>
              <w:szCs w:val="20"/>
            </w:rPr>
            <w:t>-</w:t>
          </w:r>
        </w:p>
      </w:tc>
    </w:tr>
    <w:tr w:rsidR="00FD11FB" w:rsidRPr="00FD11FB" w14:paraId="24BBCF52" w14:textId="77777777" w:rsidTr="00A74B74">
      <w:trPr>
        <w:trHeight w:val="154"/>
      </w:trPr>
      <w:tc>
        <w:tcPr>
          <w:tcW w:w="1487" w:type="dxa"/>
          <w:vMerge/>
          <w:vAlign w:val="center"/>
        </w:tcPr>
        <w:p w14:paraId="4E317BC8" w14:textId="77777777" w:rsidR="00FD11FB" w:rsidRPr="00FD11FB" w:rsidRDefault="00FD11FB" w:rsidP="00FD11FB">
          <w:pPr>
            <w:pStyle w:val="stBilgi"/>
            <w:rPr>
              <w:rFonts w:ascii="Times New Roman" w:hAnsi="Times New Roman" w:cs="Times New Roman"/>
              <w:noProof/>
              <w:lang w:eastAsia="tr-TR"/>
            </w:rPr>
          </w:pPr>
        </w:p>
      </w:tc>
      <w:tc>
        <w:tcPr>
          <w:tcW w:w="4790" w:type="dxa"/>
          <w:vMerge/>
          <w:vAlign w:val="center"/>
        </w:tcPr>
        <w:p w14:paraId="5B667D26" w14:textId="77777777" w:rsidR="00FD11FB" w:rsidRPr="00FD11FB" w:rsidRDefault="00FD11FB" w:rsidP="00FD11FB">
          <w:pPr>
            <w:pStyle w:val="stBilgi"/>
            <w:rPr>
              <w:rFonts w:ascii="Times New Roman" w:hAnsi="Times New Roman" w:cs="Times New Roman"/>
              <w:sz w:val="20"/>
              <w:szCs w:val="20"/>
            </w:rPr>
          </w:pPr>
        </w:p>
      </w:tc>
      <w:tc>
        <w:tcPr>
          <w:tcW w:w="1833" w:type="dxa"/>
        </w:tcPr>
        <w:p w14:paraId="05DBFE50" w14:textId="77777777" w:rsidR="00FD11FB" w:rsidRPr="00FD11FB" w:rsidRDefault="00FD11FB" w:rsidP="00FD11FB">
          <w:pPr>
            <w:pStyle w:val="stBilgi"/>
            <w:rPr>
              <w:rFonts w:ascii="Times New Roman" w:hAnsi="Times New Roman" w:cs="Times New Roman"/>
              <w:sz w:val="20"/>
              <w:szCs w:val="20"/>
            </w:rPr>
          </w:pPr>
          <w:r w:rsidRPr="00FD11FB">
            <w:rPr>
              <w:rFonts w:ascii="Times New Roman" w:hAnsi="Times New Roman" w:cs="Times New Roman"/>
              <w:sz w:val="20"/>
              <w:szCs w:val="20"/>
            </w:rPr>
            <w:t>Revizyon No:</w:t>
          </w:r>
        </w:p>
      </w:tc>
      <w:tc>
        <w:tcPr>
          <w:tcW w:w="1558" w:type="dxa"/>
        </w:tcPr>
        <w:p w14:paraId="63B7FEEE" w14:textId="77777777" w:rsidR="00FD11FB" w:rsidRPr="00FD11FB" w:rsidRDefault="00FD11FB" w:rsidP="00FD11FB">
          <w:pPr>
            <w:pStyle w:val="stBilgi"/>
            <w:rPr>
              <w:rFonts w:ascii="Times New Roman" w:hAnsi="Times New Roman" w:cs="Times New Roman"/>
              <w:sz w:val="20"/>
              <w:szCs w:val="20"/>
            </w:rPr>
          </w:pPr>
          <w:r w:rsidRPr="00FD11FB">
            <w:rPr>
              <w:rFonts w:ascii="Times New Roman" w:hAnsi="Times New Roman" w:cs="Times New Roman"/>
              <w:sz w:val="20"/>
              <w:szCs w:val="20"/>
            </w:rPr>
            <w:t>00</w:t>
          </w:r>
        </w:p>
      </w:tc>
    </w:tr>
    <w:tr w:rsidR="00FD11FB" w:rsidRPr="00FD11FB" w14:paraId="47E04D2C" w14:textId="77777777" w:rsidTr="00A74B74">
      <w:trPr>
        <w:trHeight w:val="154"/>
      </w:trPr>
      <w:tc>
        <w:tcPr>
          <w:tcW w:w="1487" w:type="dxa"/>
          <w:vMerge/>
          <w:vAlign w:val="center"/>
        </w:tcPr>
        <w:p w14:paraId="540D54FB" w14:textId="77777777" w:rsidR="00FD11FB" w:rsidRPr="00FD11FB" w:rsidRDefault="00FD11FB" w:rsidP="00FD11FB">
          <w:pPr>
            <w:pStyle w:val="stBilgi"/>
            <w:rPr>
              <w:rFonts w:ascii="Times New Roman" w:hAnsi="Times New Roman" w:cs="Times New Roman"/>
              <w:noProof/>
              <w:lang w:eastAsia="tr-TR"/>
            </w:rPr>
          </w:pPr>
        </w:p>
      </w:tc>
      <w:tc>
        <w:tcPr>
          <w:tcW w:w="4790" w:type="dxa"/>
          <w:vMerge/>
          <w:vAlign w:val="center"/>
        </w:tcPr>
        <w:p w14:paraId="1E81F302" w14:textId="77777777" w:rsidR="00FD11FB" w:rsidRPr="00FD11FB" w:rsidRDefault="00FD11FB" w:rsidP="00FD11FB">
          <w:pPr>
            <w:pStyle w:val="stBilgi"/>
            <w:rPr>
              <w:rFonts w:ascii="Times New Roman" w:hAnsi="Times New Roman" w:cs="Times New Roman"/>
              <w:sz w:val="20"/>
              <w:szCs w:val="20"/>
            </w:rPr>
          </w:pPr>
        </w:p>
      </w:tc>
      <w:tc>
        <w:tcPr>
          <w:tcW w:w="1833" w:type="dxa"/>
        </w:tcPr>
        <w:p w14:paraId="7A5454B0" w14:textId="77777777" w:rsidR="00FD11FB" w:rsidRPr="00FD11FB" w:rsidRDefault="00FD11FB" w:rsidP="00FD11FB">
          <w:pPr>
            <w:pStyle w:val="stBilgi"/>
            <w:rPr>
              <w:rFonts w:ascii="Times New Roman" w:hAnsi="Times New Roman" w:cs="Times New Roman"/>
              <w:sz w:val="20"/>
              <w:szCs w:val="20"/>
            </w:rPr>
          </w:pPr>
          <w:r w:rsidRPr="00FD11FB">
            <w:rPr>
              <w:rFonts w:ascii="Times New Roman" w:hAnsi="Times New Roman" w:cs="Times New Roman"/>
              <w:sz w:val="20"/>
              <w:szCs w:val="20"/>
            </w:rPr>
            <w:t>Sayfa No:</w:t>
          </w:r>
        </w:p>
      </w:tc>
      <w:tc>
        <w:tcPr>
          <w:tcW w:w="1558" w:type="dxa"/>
        </w:tcPr>
        <w:p w14:paraId="1041D049" w14:textId="0665667F" w:rsidR="00FD11FB" w:rsidRPr="00FD11FB" w:rsidRDefault="00FD11FB" w:rsidP="00FD11FB">
          <w:pPr>
            <w:pStyle w:val="stBilgi"/>
            <w:rPr>
              <w:rFonts w:ascii="Times New Roman" w:hAnsi="Times New Roman" w:cs="Times New Roman"/>
              <w:sz w:val="20"/>
              <w:szCs w:val="20"/>
            </w:rPr>
          </w:pPr>
          <w:r w:rsidRPr="00FD11FB">
            <w:rPr>
              <w:rFonts w:ascii="Times New Roman" w:hAnsi="Times New Roman" w:cs="Times New Roman"/>
              <w:sz w:val="20"/>
              <w:szCs w:val="20"/>
            </w:rPr>
            <w:fldChar w:fldCharType="begin"/>
          </w:r>
          <w:r w:rsidRPr="00FD11FB">
            <w:rPr>
              <w:rFonts w:ascii="Times New Roman" w:hAnsi="Times New Roman" w:cs="Times New Roman"/>
              <w:sz w:val="20"/>
              <w:szCs w:val="20"/>
            </w:rPr>
            <w:instrText>PAGE   \* MERGEFORMAT</w:instrText>
          </w:r>
          <w:r w:rsidRPr="00FD11FB">
            <w:rPr>
              <w:rFonts w:ascii="Times New Roman" w:hAnsi="Times New Roman" w:cs="Times New Roman"/>
              <w:sz w:val="20"/>
              <w:szCs w:val="20"/>
            </w:rPr>
            <w:fldChar w:fldCharType="separate"/>
          </w:r>
          <w:r w:rsidRPr="00FD11FB">
            <w:rPr>
              <w:rFonts w:ascii="Times New Roman" w:hAnsi="Times New Roman" w:cs="Times New Roman"/>
              <w:sz w:val="20"/>
              <w:szCs w:val="20"/>
            </w:rPr>
            <w:t>1</w:t>
          </w:r>
          <w:r w:rsidRPr="00FD11FB">
            <w:rPr>
              <w:rFonts w:ascii="Times New Roman" w:hAnsi="Times New Roman" w:cs="Times New Roman"/>
              <w:sz w:val="20"/>
              <w:szCs w:val="20"/>
            </w:rPr>
            <w:fldChar w:fldCharType="end"/>
          </w:r>
          <w:r w:rsidRPr="00FD11FB">
            <w:rPr>
              <w:rFonts w:ascii="Times New Roman" w:hAnsi="Times New Roman" w:cs="Times New Roman"/>
              <w:sz w:val="20"/>
              <w:szCs w:val="20"/>
            </w:rPr>
            <w:t>/</w:t>
          </w:r>
          <w:r w:rsidR="00CC3FFD">
            <w:rPr>
              <w:rFonts w:ascii="Times New Roman" w:hAnsi="Times New Roman" w:cs="Times New Roman"/>
              <w:sz w:val="20"/>
              <w:szCs w:val="20"/>
            </w:rPr>
            <w:t>4</w:t>
          </w:r>
        </w:p>
      </w:tc>
    </w:tr>
  </w:tbl>
  <w:p w14:paraId="670F1D53" w14:textId="77777777" w:rsidR="00FD11FB" w:rsidRDefault="00FD11FB" w:rsidP="00CC3FFD">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1444FD"/>
    <w:multiLevelType w:val="hybridMultilevel"/>
    <w:tmpl w:val="68C02C94"/>
    <w:lvl w:ilvl="0" w:tplc="F5729FE6">
      <w:start w:val="1"/>
      <w:numFmt w:val="lowerLetter"/>
      <w:lvlText w:val="%1."/>
      <w:lvlJc w:val="left"/>
      <w:pPr>
        <w:ind w:left="0" w:firstLine="0"/>
      </w:pPr>
      <w:rPr>
        <w:rFonts w:ascii="Calibri" w:eastAsia="Calibri" w:hAnsi="Calibri" w:cs="Calibri" w:hint="default"/>
        <w:spacing w:val="-17"/>
        <w:w w:val="100"/>
        <w:sz w:val="22"/>
        <w:szCs w:val="22"/>
      </w:rPr>
    </w:lvl>
    <w:lvl w:ilvl="1" w:tplc="59A69D88">
      <w:numFmt w:val="bullet"/>
      <w:lvlText w:val="•"/>
      <w:lvlJc w:val="left"/>
      <w:pPr>
        <w:ind w:left="1032" w:hanging="848"/>
      </w:pPr>
      <w:rPr>
        <w:rFonts w:hint="default"/>
      </w:rPr>
    </w:lvl>
    <w:lvl w:ilvl="2" w:tplc="F1AC13C0">
      <w:numFmt w:val="bullet"/>
      <w:lvlText w:val="•"/>
      <w:lvlJc w:val="left"/>
      <w:pPr>
        <w:ind w:left="1964" w:hanging="848"/>
      </w:pPr>
      <w:rPr>
        <w:rFonts w:hint="default"/>
      </w:rPr>
    </w:lvl>
    <w:lvl w:ilvl="3" w:tplc="1D7EDF88">
      <w:numFmt w:val="bullet"/>
      <w:lvlText w:val="•"/>
      <w:lvlJc w:val="left"/>
      <w:pPr>
        <w:ind w:left="2896" w:hanging="848"/>
      </w:pPr>
      <w:rPr>
        <w:rFonts w:hint="default"/>
      </w:rPr>
    </w:lvl>
    <w:lvl w:ilvl="4" w:tplc="F162C354">
      <w:numFmt w:val="bullet"/>
      <w:lvlText w:val="•"/>
      <w:lvlJc w:val="left"/>
      <w:pPr>
        <w:ind w:left="3828" w:hanging="848"/>
      </w:pPr>
      <w:rPr>
        <w:rFonts w:hint="default"/>
      </w:rPr>
    </w:lvl>
    <w:lvl w:ilvl="5" w:tplc="287214FC">
      <w:numFmt w:val="bullet"/>
      <w:lvlText w:val="•"/>
      <w:lvlJc w:val="left"/>
      <w:pPr>
        <w:ind w:left="4760" w:hanging="848"/>
      </w:pPr>
      <w:rPr>
        <w:rFonts w:hint="default"/>
      </w:rPr>
    </w:lvl>
    <w:lvl w:ilvl="6" w:tplc="788ACE7E">
      <w:numFmt w:val="bullet"/>
      <w:lvlText w:val="•"/>
      <w:lvlJc w:val="left"/>
      <w:pPr>
        <w:ind w:left="5692" w:hanging="848"/>
      </w:pPr>
      <w:rPr>
        <w:rFonts w:hint="default"/>
      </w:rPr>
    </w:lvl>
    <w:lvl w:ilvl="7" w:tplc="378078AE">
      <w:numFmt w:val="bullet"/>
      <w:lvlText w:val="•"/>
      <w:lvlJc w:val="left"/>
      <w:pPr>
        <w:ind w:left="6624" w:hanging="848"/>
      </w:pPr>
      <w:rPr>
        <w:rFonts w:hint="default"/>
      </w:rPr>
    </w:lvl>
    <w:lvl w:ilvl="8" w:tplc="1C4AC318">
      <w:numFmt w:val="bullet"/>
      <w:lvlText w:val="•"/>
      <w:lvlJc w:val="left"/>
      <w:pPr>
        <w:ind w:left="7556" w:hanging="848"/>
      </w:pPr>
      <w:rPr>
        <w:rFonts w:hint="default"/>
      </w:rPr>
    </w:lvl>
  </w:abstractNum>
  <w:abstractNum w:abstractNumId="1" w15:restartNumberingAfterBreak="0">
    <w:nsid w:val="150E631F"/>
    <w:multiLevelType w:val="hybridMultilevel"/>
    <w:tmpl w:val="4434D71E"/>
    <w:lvl w:ilvl="0" w:tplc="041F0017">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3B6D7E0E"/>
    <w:multiLevelType w:val="hybridMultilevel"/>
    <w:tmpl w:val="83D2ADCE"/>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400E162C"/>
    <w:multiLevelType w:val="hybridMultilevel"/>
    <w:tmpl w:val="8836181E"/>
    <w:lvl w:ilvl="0" w:tplc="871825C0">
      <w:start w:val="2"/>
      <w:numFmt w:val="decimal"/>
      <w:lvlText w:val="(%1)"/>
      <w:lvlJc w:val="left"/>
      <w:pPr>
        <w:ind w:left="100" w:hanging="324"/>
      </w:pPr>
      <w:rPr>
        <w:rFonts w:ascii="Calibri" w:eastAsia="Calibri" w:hAnsi="Calibri" w:cs="Calibri" w:hint="default"/>
        <w:spacing w:val="-23"/>
        <w:w w:val="98"/>
        <w:sz w:val="22"/>
        <w:szCs w:val="22"/>
      </w:rPr>
    </w:lvl>
    <w:lvl w:ilvl="1" w:tplc="BFBAE5FC">
      <w:numFmt w:val="bullet"/>
      <w:lvlText w:val="•"/>
      <w:lvlJc w:val="left"/>
      <w:pPr>
        <w:ind w:left="1030" w:hanging="324"/>
      </w:pPr>
      <w:rPr>
        <w:rFonts w:hint="default"/>
      </w:rPr>
    </w:lvl>
    <w:lvl w:ilvl="2" w:tplc="A134D99E">
      <w:numFmt w:val="bullet"/>
      <w:lvlText w:val="•"/>
      <w:lvlJc w:val="left"/>
      <w:pPr>
        <w:ind w:left="1960" w:hanging="324"/>
      </w:pPr>
      <w:rPr>
        <w:rFonts w:hint="default"/>
      </w:rPr>
    </w:lvl>
    <w:lvl w:ilvl="3" w:tplc="0AD2667A">
      <w:numFmt w:val="bullet"/>
      <w:lvlText w:val="•"/>
      <w:lvlJc w:val="left"/>
      <w:pPr>
        <w:ind w:left="2890" w:hanging="324"/>
      </w:pPr>
      <w:rPr>
        <w:rFonts w:hint="default"/>
      </w:rPr>
    </w:lvl>
    <w:lvl w:ilvl="4" w:tplc="D3AE4650">
      <w:numFmt w:val="bullet"/>
      <w:lvlText w:val="•"/>
      <w:lvlJc w:val="left"/>
      <w:pPr>
        <w:ind w:left="3820" w:hanging="324"/>
      </w:pPr>
      <w:rPr>
        <w:rFonts w:hint="default"/>
      </w:rPr>
    </w:lvl>
    <w:lvl w:ilvl="5" w:tplc="EDDEFDAE">
      <w:numFmt w:val="bullet"/>
      <w:lvlText w:val="•"/>
      <w:lvlJc w:val="left"/>
      <w:pPr>
        <w:ind w:left="4750" w:hanging="324"/>
      </w:pPr>
      <w:rPr>
        <w:rFonts w:hint="default"/>
      </w:rPr>
    </w:lvl>
    <w:lvl w:ilvl="6" w:tplc="94BA09E8">
      <w:numFmt w:val="bullet"/>
      <w:lvlText w:val="•"/>
      <w:lvlJc w:val="left"/>
      <w:pPr>
        <w:ind w:left="5680" w:hanging="324"/>
      </w:pPr>
      <w:rPr>
        <w:rFonts w:hint="default"/>
      </w:rPr>
    </w:lvl>
    <w:lvl w:ilvl="7" w:tplc="726642EC">
      <w:numFmt w:val="bullet"/>
      <w:lvlText w:val="•"/>
      <w:lvlJc w:val="left"/>
      <w:pPr>
        <w:ind w:left="6610" w:hanging="324"/>
      </w:pPr>
      <w:rPr>
        <w:rFonts w:hint="default"/>
      </w:rPr>
    </w:lvl>
    <w:lvl w:ilvl="8" w:tplc="B1D23DEA">
      <w:numFmt w:val="bullet"/>
      <w:lvlText w:val="•"/>
      <w:lvlJc w:val="left"/>
      <w:pPr>
        <w:ind w:left="7540" w:hanging="324"/>
      </w:pPr>
      <w:rPr>
        <w:rFonts w:hint="default"/>
      </w:rPr>
    </w:lvl>
  </w:abstractNum>
  <w:abstractNum w:abstractNumId="4" w15:restartNumberingAfterBreak="0">
    <w:nsid w:val="40DB4395"/>
    <w:multiLevelType w:val="hybridMultilevel"/>
    <w:tmpl w:val="EA6CCA8E"/>
    <w:lvl w:ilvl="0" w:tplc="24846292">
      <w:start w:val="1"/>
      <w:numFmt w:val="lowerLetter"/>
      <w:lvlText w:val="%1."/>
      <w:lvlJc w:val="left"/>
      <w:pPr>
        <w:ind w:left="100" w:hanging="848"/>
      </w:pPr>
      <w:rPr>
        <w:rFonts w:ascii="Calibri" w:eastAsia="Calibri" w:hAnsi="Calibri" w:cs="Calibri" w:hint="default"/>
        <w:spacing w:val="-9"/>
        <w:w w:val="98"/>
        <w:sz w:val="22"/>
        <w:szCs w:val="22"/>
      </w:rPr>
    </w:lvl>
    <w:lvl w:ilvl="1" w:tplc="ED30090A">
      <w:numFmt w:val="bullet"/>
      <w:lvlText w:val="•"/>
      <w:lvlJc w:val="left"/>
      <w:pPr>
        <w:ind w:left="1032" w:hanging="848"/>
      </w:pPr>
      <w:rPr>
        <w:rFonts w:hint="default"/>
      </w:rPr>
    </w:lvl>
    <w:lvl w:ilvl="2" w:tplc="11265972">
      <w:numFmt w:val="bullet"/>
      <w:lvlText w:val="•"/>
      <w:lvlJc w:val="left"/>
      <w:pPr>
        <w:ind w:left="1964" w:hanging="848"/>
      </w:pPr>
      <w:rPr>
        <w:rFonts w:hint="default"/>
      </w:rPr>
    </w:lvl>
    <w:lvl w:ilvl="3" w:tplc="D57A4A04">
      <w:numFmt w:val="bullet"/>
      <w:lvlText w:val="•"/>
      <w:lvlJc w:val="left"/>
      <w:pPr>
        <w:ind w:left="2896" w:hanging="848"/>
      </w:pPr>
      <w:rPr>
        <w:rFonts w:hint="default"/>
      </w:rPr>
    </w:lvl>
    <w:lvl w:ilvl="4" w:tplc="F9DE59B2">
      <w:numFmt w:val="bullet"/>
      <w:lvlText w:val="•"/>
      <w:lvlJc w:val="left"/>
      <w:pPr>
        <w:ind w:left="3828" w:hanging="848"/>
      </w:pPr>
      <w:rPr>
        <w:rFonts w:hint="default"/>
      </w:rPr>
    </w:lvl>
    <w:lvl w:ilvl="5" w:tplc="57BEAD96">
      <w:numFmt w:val="bullet"/>
      <w:lvlText w:val="•"/>
      <w:lvlJc w:val="left"/>
      <w:pPr>
        <w:ind w:left="4760" w:hanging="848"/>
      </w:pPr>
      <w:rPr>
        <w:rFonts w:hint="default"/>
      </w:rPr>
    </w:lvl>
    <w:lvl w:ilvl="6" w:tplc="F3303230">
      <w:numFmt w:val="bullet"/>
      <w:lvlText w:val="•"/>
      <w:lvlJc w:val="left"/>
      <w:pPr>
        <w:ind w:left="5692" w:hanging="848"/>
      </w:pPr>
      <w:rPr>
        <w:rFonts w:hint="default"/>
      </w:rPr>
    </w:lvl>
    <w:lvl w:ilvl="7" w:tplc="AC48D3A4">
      <w:numFmt w:val="bullet"/>
      <w:lvlText w:val="•"/>
      <w:lvlJc w:val="left"/>
      <w:pPr>
        <w:ind w:left="6624" w:hanging="848"/>
      </w:pPr>
      <w:rPr>
        <w:rFonts w:hint="default"/>
      </w:rPr>
    </w:lvl>
    <w:lvl w:ilvl="8" w:tplc="E8BE5944">
      <w:numFmt w:val="bullet"/>
      <w:lvlText w:val="•"/>
      <w:lvlJc w:val="left"/>
      <w:pPr>
        <w:ind w:left="7556" w:hanging="848"/>
      </w:pPr>
      <w:rPr>
        <w:rFonts w:hint="default"/>
      </w:rPr>
    </w:lvl>
  </w:abstractNum>
  <w:abstractNum w:abstractNumId="5" w15:restartNumberingAfterBreak="0">
    <w:nsid w:val="57E777AD"/>
    <w:multiLevelType w:val="hybridMultilevel"/>
    <w:tmpl w:val="4E9C0976"/>
    <w:lvl w:ilvl="0" w:tplc="041F0017">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6E1E448B"/>
    <w:multiLevelType w:val="hybridMultilevel"/>
    <w:tmpl w:val="BB16E08C"/>
    <w:lvl w:ilvl="0" w:tplc="DDEAECBE">
      <w:start w:val="2"/>
      <w:numFmt w:val="decimal"/>
      <w:lvlText w:val="(%1)"/>
      <w:lvlJc w:val="left"/>
      <w:pPr>
        <w:ind w:left="100" w:hanging="294"/>
      </w:pPr>
      <w:rPr>
        <w:rFonts w:ascii="Calibri" w:eastAsia="Calibri" w:hAnsi="Calibri" w:cs="Calibri" w:hint="default"/>
        <w:spacing w:val="-1"/>
        <w:w w:val="100"/>
        <w:sz w:val="22"/>
        <w:szCs w:val="22"/>
      </w:rPr>
    </w:lvl>
    <w:lvl w:ilvl="1" w:tplc="B5F4C55E">
      <w:numFmt w:val="bullet"/>
      <w:lvlText w:val="•"/>
      <w:lvlJc w:val="left"/>
      <w:pPr>
        <w:ind w:left="1032" w:hanging="294"/>
      </w:pPr>
      <w:rPr>
        <w:rFonts w:hint="default"/>
      </w:rPr>
    </w:lvl>
    <w:lvl w:ilvl="2" w:tplc="34FC2974">
      <w:numFmt w:val="bullet"/>
      <w:lvlText w:val="•"/>
      <w:lvlJc w:val="left"/>
      <w:pPr>
        <w:ind w:left="1964" w:hanging="294"/>
      </w:pPr>
      <w:rPr>
        <w:rFonts w:hint="default"/>
      </w:rPr>
    </w:lvl>
    <w:lvl w:ilvl="3" w:tplc="ABAA1A80">
      <w:numFmt w:val="bullet"/>
      <w:lvlText w:val="•"/>
      <w:lvlJc w:val="left"/>
      <w:pPr>
        <w:ind w:left="2896" w:hanging="294"/>
      </w:pPr>
      <w:rPr>
        <w:rFonts w:hint="default"/>
      </w:rPr>
    </w:lvl>
    <w:lvl w:ilvl="4" w:tplc="F6FA6E7C">
      <w:numFmt w:val="bullet"/>
      <w:lvlText w:val="•"/>
      <w:lvlJc w:val="left"/>
      <w:pPr>
        <w:ind w:left="3828" w:hanging="294"/>
      </w:pPr>
      <w:rPr>
        <w:rFonts w:hint="default"/>
      </w:rPr>
    </w:lvl>
    <w:lvl w:ilvl="5" w:tplc="0BD64E6A">
      <w:numFmt w:val="bullet"/>
      <w:lvlText w:val="•"/>
      <w:lvlJc w:val="left"/>
      <w:pPr>
        <w:ind w:left="4760" w:hanging="294"/>
      </w:pPr>
      <w:rPr>
        <w:rFonts w:hint="default"/>
      </w:rPr>
    </w:lvl>
    <w:lvl w:ilvl="6" w:tplc="A2900A6A">
      <w:numFmt w:val="bullet"/>
      <w:lvlText w:val="•"/>
      <w:lvlJc w:val="left"/>
      <w:pPr>
        <w:ind w:left="5692" w:hanging="294"/>
      </w:pPr>
      <w:rPr>
        <w:rFonts w:hint="default"/>
      </w:rPr>
    </w:lvl>
    <w:lvl w:ilvl="7" w:tplc="03728938">
      <w:numFmt w:val="bullet"/>
      <w:lvlText w:val="•"/>
      <w:lvlJc w:val="left"/>
      <w:pPr>
        <w:ind w:left="6624" w:hanging="294"/>
      </w:pPr>
      <w:rPr>
        <w:rFonts w:hint="default"/>
      </w:rPr>
    </w:lvl>
    <w:lvl w:ilvl="8" w:tplc="88B4E296">
      <w:numFmt w:val="bullet"/>
      <w:lvlText w:val="•"/>
      <w:lvlJc w:val="left"/>
      <w:pPr>
        <w:ind w:left="7556" w:hanging="294"/>
      </w:pPr>
      <w:rPr>
        <w:rFonts w:hint="default"/>
      </w:rPr>
    </w:lvl>
  </w:abstractNum>
  <w:abstractNum w:abstractNumId="7" w15:restartNumberingAfterBreak="0">
    <w:nsid w:val="70D44779"/>
    <w:multiLevelType w:val="hybridMultilevel"/>
    <w:tmpl w:val="3E64F5FA"/>
    <w:lvl w:ilvl="0" w:tplc="F8569E7C">
      <w:start w:val="1"/>
      <w:numFmt w:val="lowerLetter"/>
      <w:lvlText w:val="%1."/>
      <w:lvlJc w:val="left"/>
      <w:pPr>
        <w:ind w:left="100" w:hanging="848"/>
      </w:pPr>
      <w:rPr>
        <w:rFonts w:ascii="Calibri" w:eastAsia="Calibri" w:hAnsi="Calibri" w:cs="Calibri" w:hint="default"/>
        <w:spacing w:val="-23"/>
        <w:w w:val="94"/>
        <w:sz w:val="22"/>
        <w:szCs w:val="22"/>
      </w:rPr>
    </w:lvl>
    <w:lvl w:ilvl="1" w:tplc="81E4958C">
      <w:numFmt w:val="bullet"/>
      <w:lvlText w:val="•"/>
      <w:lvlJc w:val="left"/>
      <w:pPr>
        <w:ind w:left="1032" w:hanging="848"/>
      </w:pPr>
      <w:rPr>
        <w:rFonts w:hint="default"/>
      </w:rPr>
    </w:lvl>
    <w:lvl w:ilvl="2" w:tplc="C382069A">
      <w:numFmt w:val="bullet"/>
      <w:lvlText w:val="•"/>
      <w:lvlJc w:val="left"/>
      <w:pPr>
        <w:ind w:left="1964" w:hanging="848"/>
      </w:pPr>
      <w:rPr>
        <w:rFonts w:hint="default"/>
      </w:rPr>
    </w:lvl>
    <w:lvl w:ilvl="3" w:tplc="BD921940">
      <w:numFmt w:val="bullet"/>
      <w:lvlText w:val="•"/>
      <w:lvlJc w:val="left"/>
      <w:pPr>
        <w:ind w:left="2896" w:hanging="848"/>
      </w:pPr>
      <w:rPr>
        <w:rFonts w:hint="default"/>
      </w:rPr>
    </w:lvl>
    <w:lvl w:ilvl="4" w:tplc="06DEC00A">
      <w:numFmt w:val="bullet"/>
      <w:lvlText w:val="•"/>
      <w:lvlJc w:val="left"/>
      <w:pPr>
        <w:ind w:left="3828" w:hanging="848"/>
      </w:pPr>
      <w:rPr>
        <w:rFonts w:hint="default"/>
      </w:rPr>
    </w:lvl>
    <w:lvl w:ilvl="5" w:tplc="F536C5DC">
      <w:numFmt w:val="bullet"/>
      <w:lvlText w:val="•"/>
      <w:lvlJc w:val="left"/>
      <w:pPr>
        <w:ind w:left="4760" w:hanging="848"/>
      </w:pPr>
      <w:rPr>
        <w:rFonts w:hint="default"/>
      </w:rPr>
    </w:lvl>
    <w:lvl w:ilvl="6" w:tplc="317E0074">
      <w:numFmt w:val="bullet"/>
      <w:lvlText w:val="•"/>
      <w:lvlJc w:val="left"/>
      <w:pPr>
        <w:ind w:left="5692" w:hanging="848"/>
      </w:pPr>
      <w:rPr>
        <w:rFonts w:hint="default"/>
      </w:rPr>
    </w:lvl>
    <w:lvl w:ilvl="7" w:tplc="E1D070B2">
      <w:numFmt w:val="bullet"/>
      <w:lvlText w:val="•"/>
      <w:lvlJc w:val="left"/>
      <w:pPr>
        <w:ind w:left="6624" w:hanging="848"/>
      </w:pPr>
      <w:rPr>
        <w:rFonts w:hint="default"/>
      </w:rPr>
    </w:lvl>
    <w:lvl w:ilvl="8" w:tplc="E4D0A88A">
      <w:numFmt w:val="bullet"/>
      <w:lvlText w:val="•"/>
      <w:lvlJc w:val="left"/>
      <w:pPr>
        <w:ind w:left="7556" w:hanging="848"/>
      </w:pPr>
      <w:rPr>
        <w:rFonts w:hint="default"/>
      </w:rPr>
    </w:lvl>
  </w:abstractNum>
  <w:abstractNum w:abstractNumId="8" w15:restartNumberingAfterBreak="0">
    <w:nsid w:val="7B30444C"/>
    <w:multiLevelType w:val="hybridMultilevel"/>
    <w:tmpl w:val="C4A22EF0"/>
    <w:lvl w:ilvl="0" w:tplc="3A6EE0FC">
      <w:start w:val="1"/>
      <w:numFmt w:val="lowerLetter"/>
      <w:lvlText w:val="%1."/>
      <w:lvlJc w:val="left"/>
      <w:pPr>
        <w:ind w:left="100" w:hanging="848"/>
      </w:pPr>
      <w:rPr>
        <w:rFonts w:ascii="Calibri" w:eastAsia="Calibri" w:hAnsi="Calibri" w:cs="Calibri" w:hint="default"/>
        <w:spacing w:val="-6"/>
        <w:w w:val="100"/>
        <w:sz w:val="22"/>
        <w:szCs w:val="22"/>
      </w:rPr>
    </w:lvl>
    <w:lvl w:ilvl="1" w:tplc="C9AEB490">
      <w:numFmt w:val="bullet"/>
      <w:lvlText w:val="•"/>
      <w:lvlJc w:val="left"/>
      <w:pPr>
        <w:ind w:left="1032" w:hanging="848"/>
      </w:pPr>
      <w:rPr>
        <w:rFonts w:hint="default"/>
      </w:rPr>
    </w:lvl>
    <w:lvl w:ilvl="2" w:tplc="A48E8E9C">
      <w:numFmt w:val="bullet"/>
      <w:lvlText w:val="•"/>
      <w:lvlJc w:val="left"/>
      <w:pPr>
        <w:ind w:left="1964" w:hanging="848"/>
      </w:pPr>
      <w:rPr>
        <w:rFonts w:hint="default"/>
      </w:rPr>
    </w:lvl>
    <w:lvl w:ilvl="3" w:tplc="9A342B76">
      <w:numFmt w:val="bullet"/>
      <w:lvlText w:val="•"/>
      <w:lvlJc w:val="left"/>
      <w:pPr>
        <w:ind w:left="2896" w:hanging="848"/>
      </w:pPr>
      <w:rPr>
        <w:rFonts w:hint="default"/>
      </w:rPr>
    </w:lvl>
    <w:lvl w:ilvl="4" w:tplc="93662158">
      <w:numFmt w:val="bullet"/>
      <w:lvlText w:val="•"/>
      <w:lvlJc w:val="left"/>
      <w:pPr>
        <w:ind w:left="3828" w:hanging="848"/>
      </w:pPr>
      <w:rPr>
        <w:rFonts w:hint="default"/>
      </w:rPr>
    </w:lvl>
    <w:lvl w:ilvl="5" w:tplc="B4D02FCC">
      <w:numFmt w:val="bullet"/>
      <w:lvlText w:val="•"/>
      <w:lvlJc w:val="left"/>
      <w:pPr>
        <w:ind w:left="4760" w:hanging="848"/>
      </w:pPr>
      <w:rPr>
        <w:rFonts w:hint="default"/>
      </w:rPr>
    </w:lvl>
    <w:lvl w:ilvl="6" w:tplc="0270E596">
      <w:numFmt w:val="bullet"/>
      <w:lvlText w:val="•"/>
      <w:lvlJc w:val="left"/>
      <w:pPr>
        <w:ind w:left="5692" w:hanging="848"/>
      </w:pPr>
      <w:rPr>
        <w:rFonts w:hint="default"/>
      </w:rPr>
    </w:lvl>
    <w:lvl w:ilvl="7" w:tplc="5540CD56">
      <w:numFmt w:val="bullet"/>
      <w:lvlText w:val="•"/>
      <w:lvlJc w:val="left"/>
      <w:pPr>
        <w:ind w:left="6624" w:hanging="848"/>
      </w:pPr>
      <w:rPr>
        <w:rFonts w:hint="default"/>
      </w:rPr>
    </w:lvl>
    <w:lvl w:ilvl="8" w:tplc="EE7EDA02">
      <w:numFmt w:val="bullet"/>
      <w:lvlText w:val="•"/>
      <w:lvlJc w:val="left"/>
      <w:pPr>
        <w:ind w:left="7556" w:hanging="848"/>
      </w:pPr>
      <w:rPr>
        <w:rFonts w:hint="default"/>
      </w:rPr>
    </w:lvl>
  </w:abstractNum>
  <w:num w:numId="1" w16cid:durableId="964193023">
    <w:abstractNumId w:val="3"/>
  </w:num>
  <w:num w:numId="2" w16cid:durableId="1119645061">
    <w:abstractNumId w:val="8"/>
  </w:num>
  <w:num w:numId="3" w16cid:durableId="885530010">
    <w:abstractNumId w:val="6"/>
  </w:num>
  <w:num w:numId="4" w16cid:durableId="2118209853">
    <w:abstractNumId w:val="7"/>
  </w:num>
  <w:num w:numId="5" w16cid:durableId="909192249">
    <w:abstractNumId w:val="0"/>
  </w:num>
  <w:num w:numId="6" w16cid:durableId="918563341">
    <w:abstractNumId w:val="4"/>
  </w:num>
  <w:num w:numId="7" w16cid:durableId="1896113340">
    <w:abstractNumId w:val="2"/>
  </w:num>
  <w:num w:numId="8" w16cid:durableId="1933776557">
    <w:abstractNumId w:val="1"/>
  </w:num>
  <w:num w:numId="9" w16cid:durableId="13488166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DB4943"/>
    <w:rsid w:val="000E0458"/>
    <w:rsid w:val="00400F7D"/>
    <w:rsid w:val="00441A8C"/>
    <w:rsid w:val="004D5A26"/>
    <w:rsid w:val="007E386A"/>
    <w:rsid w:val="00870B72"/>
    <w:rsid w:val="009361EC"/>
    <w:rsid w:val="00CC3FFD"/>
    <w:rsid w:val="00D5085D"/>
    <w:rsid w:val="00DB4943"/>
    <w:rsid w:val="00FD11F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60165F"/>
  <w15:docId w15:val="{F6191804-210A-4D12-9859-4E163267A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Balk1">
    <w:name w:val="heading 1"/>
    <w:basedOn w:val="Normal"/>
    <w:uiPriority w:val="9"/>
    <w:qFormat/>
    <w:pPr>
      <w:spacing w:before="1"/>
      <w:ind w:left="668"/>
      <w:outlineLvl w:val="0"/>
    </w:pPr>
    <w:rPr>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pPr>
      <w:spacing w:before="159"/>
      <w:ind w:left="100" w:firstLine="568"/>
    </w:pPr>
  </w:style>
  <w:style w:type="paragraph" w:styleId="ListeParagraf">
    <w:name w:val="List Paragraph"/>
    <w:basedOn w:val="Normal"/>
    <w:uiPriority w:val="34"/>
    <w:qFormat/>
    <w:pPr>
      <w:spacing w:before="159"/>
      <w:ind w:left="100" w:firstLine="568"/>
      <w:jc w:val="both"/>
    </w:pPr>
  </w:style>
  <w:style w:type="paragraph" w:customStyle="1" w:styleId="TableParagraph">
    <w:name w:val="Table Paragraph"/>
    <w:basedOn w:val="Normal"/>
    <w:uiPriority w:val="1"/>
    <w:qFormat/>
  </w:style>
  <w:style w:type="paragraph" w:styleId="stBilgi">
    <w:name w:val="header"/>
    <w:basedOn w:val="Normal"/>
    <w:link w:val="stBilgiChar"/>
    <w:uiPriority w:val="99"/>
    <w:unhideWhenUsed/>
    <w:rsid w:val="00FD11FB"/>
    <w:pPr>
      <w:tabs>
        <w:tab w:val="center" w:pos="4536"/>
        <w:tab w:val="right" w:pos="9072"/>
      </w:tabs>
    </w:pPr>
  </w:style>
  <w:style w:type="character" w:customStyle="1" w:styleId="stBilgiChar">
    <w:name w:val="Üst Bilgi Char"/>
    <w:basedOn w:val="VarsaylanParagrafYazTipi"/>
    <w:link w:val="stBilgi"/>
    <w:uiPriority w:val="99"/>
    <w:rsid w:val="00FD11FB"/>
    <w:rPr>
      <w:rFonts w:ascii="Calibri" w:eastAsia="Calibri" w:hAnsi="Calibri" w:cs="Calibri"/>
    </w:rPr>
  </w:style>
  <w:style w:type="paragraph" w:styleId="AltBilgi">
    <w:name w:val="footer"/>
    <w:basedOn w:val="Normal"/>
    <w:link w:val="AltBilgiChar"/>
    <w:uiPriority w:val="99"/>
    <w:unhideWhenUsed/>
    <w:rsid w:val="00FD11FB"/>
    <w:pPr>
      <w:tabs>
        <w:tab w:val="center" w:pos="4536"/>
        <w:tab w:val="right" w:pos="9072"/>
      </w:tabs>
    </w:pPr>
  </w:style>
  <w:style w:type="character" w:customStyle="1" w:styleId="AltBilgiChar">
    <w:name w:val="Alt Bilgi Char"/>
    <w:basedOn w:val="VarsaylanParagrafYazTipi"/>
    <w:link w:val="AltBilgi"/>
    <w:uiPriority w:val="99"/>
    <w:rsid w:val="00FD11FB"/>
    <w:rPr>
      <w:rFonts w:ascii="Calibri" w:eastAsia="Calibri" w:hAnsi="Calibri" w:cs="Calibri"/>
    </w:rPr>
  </w:style>
  <w:style w:type="table" w:styleId="TabloKlavuzu">
    <w:name w:val="Table Grid"/>
    <w:basedOn w:val="NormalTablo"/>
    <w:uiPriority w:val="59"/>
    <w:rsid w:val="00FD11FB"/>
    <w:pPr>
      <w:widowControl/>
      <w:autoSpaceDE/>
      <w:autoSpaceDN/>
    </w:pPr>
    <w:rPr>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00F7D"/>
    <w:pPr>
      <w:widowControl/>
      <w:tabs>
        <w:tab w:val="center" w:pos="4536"/>
      </w:tabs>
      <w:autoSpaceDE/>
      <w:autoSpaceDN/>
      <w:spacing w:before="100" w:beforeAutospacing="1" w:after="100" w:afterAutospacing="1"/>
      <w:jc w:val="both"/>
    </w:pPr>
    <w:rPr>
      <w:rFonts w:ascii="Times New Roman" w:eastAsia="Times New Roman" w:hAnsi="Times New Roman" w:cs="Times New Roman"/>
      <w:sz w:val="24"/>
      <w:szCs w:val="24"/>
      <w:lang w:val="tr-TR"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D2B7A0-7155-4B47-97E1-D1D4E337D0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3</Pages>
  <Words>1353</Words>
  <Characters>7716</Characters>
  <Application>Microsoft Office Word</Application>
  <DocSecurity>0</DocSecurity>
  <Lines>64</Lines>
  <Paragraphs>18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Öğrenci İşleri</dc:creator>
  <cp:lastModifiedBy>ayden özekinci</cp:lastModifiedBy>
  <cp:revision>7</cp:revision>
  <dcterms:created xsi:type="dcterms:W3CDTF">2025-05-12T16:18:00Z</dcterms:created>
  <dcterms:modified xsi:type="dcterms:W3CDTF">2025-07-31T11:16:00Z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2023-07-13T00:00:00Z</vt:filetime>
  </property>
  <property fmtid="{D5CDD505-2E9C-101B-9397-08002B2CF9AE}" pid="3" name="Creator">
    <vt:lpwstr>Writer</vt:lpwstr>
  </property>
  <property fmtid="{D5CDD505-2E9C-101B-9397-08002B2CF9AE}" pid="4" name="LastSaved">
    <vt:filetime>2023-07-13T00:00:00Z</vt:filetime>
  </property>
</Properties>
</file>