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2AF8" w14:textId="50441B5E" w:rsidR="0087750E" w:rsidRDefault="00C8278C" w:rsidP="004D7FD7">
      <w:pPr>
        <w:spacing w:line="360" w:lineRule="auto"/>
        <w:jc w:val="center"/>
        <w:rPr>
          <w:b/>
        </w:rPr>
      </w:pPr>
      <w:r>
        <w:rPr>
          <w:b/>
          <w:color w:val="000000"/>
        </w:rPr>
        <w:t xml:space="preserve">LİDERLİK, YÖNETİŞİM VE KALİTE </w:t>
      </w:r>
      <w:r>
        <w:rPr>
          <w:b/>
        </w:rPr>
        <w:t>POLİTİKASI</w:t>
      </w:r>
    </w:p>
    <w:p w14:paraId="2C2BB554" w14:textId="58FC8D6E" w:rsidR="001976C6" w:rsidRDefault="004D7FD7" w:rsidP="001976C6">
      <w:pPr>
        <w:spacing w:before="140" w:after="0" w:line="360" w:lineRule="auto"/>
        <w:ind w:left="120" w:right="120"/>
        <w:rPr>
          <w:bCs/>
          <w:color w:val="000000"/>
        </w:rPr>
      </w:pPr>
      <w:r>
        <w:rPr>
          <w:bCs/>
          <w:color w:val="000000"/>
        </w:rPr>
        <w:tab/>
        <w:t>Bankacılık ve Sigortacılık</w:t>
      </w:r>
      <w:r w:rsidR="001976C6" w:rsidRPr="001976C6">
        <w:rPr>
          <w:bCs/>
          <w:color w:val="000000"/>
        </w:rPr>
        <w:t xml:space="preserve"> Programı stratejik hedeflere ulaşmayı nitelik ve nicelik olarak güvence altına</w:t>
      </w:r>
      <w:r w:rsidR="001976C6">
        <w:rPr>
          <w:bCs/>
          <w:color w:val="000000"/>
        </w:rPr>
        <w:t xml:space="preserve"> </w:t>
      </w:r>
      <w:r w:rsidR="001976C6" w:rsidRPr="001976C6">
        <w:rPr>
          <w:bCs/>
          <w:color w:val="000000"/>
        </w:rPr>
        <w:t>almak amacıyla beşerî ve bilgi kaynakları ile süreçlerini sürekli iyileştirerek etkili bir yönetim</w:t>
      </w:r>
      <w:r w:rsidR="001976C6">
        <w:rPr>
          <w:bCs/>
          <w:color w:val="000000"/>
        </w:rPr>
        <w:t xml:space="preserve"> </w:t>
      </w:r>
      <w:r w:rsidR="001976C6" w:rsidRPr="001976C6">
        <w:rPr>
          <w:bCs/>
          <w:color w:val="000000"/>
        </w:rPr>
        <w:t xml:space="preserve">sistemi oluşturulması amaçlanmaktadır. </w:t>
      </w:r>
      <w:r>
        <w:rPr>
          <w:bCs/>
          <w:color w:val="000000"/>
        </w:rPr>
        <w:t>Bankacılık ve Sigortacılık</w:t>
      </w:r>
      <w:r w:rsidRPr="001976C6">
        <w:rPr>
          <w:bCs/>
          <w:color w:val="000000"/>
        </w:rPr>
        <w:t xml:space="preserve"> </w:t>
      </w:r>
      <w:r w:rsidR="001976C6" w:rsidRPr="001976C6">
        <w:rPr>
          <w:bCs/>
          <w:color w:val="000000"/>
        </w:rPr>
        <w:t>programı iç ve dış paydaşlarının</w:t>
      </w:r>
      <w:r w:rsidR="001976C6">
        <w:rPr>
          <w:bCs/>
          <w:color w:val="000000"/>
        </w:rPr>
        <w:t xml:space="preserve"> </w:t>
      </w:r>
      <w:r w:rsidR="001976C6" w:rsidRPr="001976C6">
        <w:rPr>
          <w:bCs/>
          <w:color w:val="000000"/>
        </w:rPr>
        <w:t>stratejik kararlara ve süreçlere katılımını sağlamak üzere geri bildirimleri alan, yanıtlayan ve</w:t>
      </w:r>
      <w:r w:rsidR="001976C6">
        <w:rPr>
          <w:bCs/>
          <w:color w:val="000000"/>
        </w:rPr>
        <w:t xml:space="preserve"> </w:t>
      </w:r>
      <w:r w:rsidR="001976C6" w:rsidRPr="001976C6">
        <w:rPr>
          <w:bCs/>
          <w:color w:val="000000"/>
        </w:rPr>
        <w:t xml:space="preserve">kararlarında kullanan bir sistem oluşturmuştur. </w:t>
      </w:r>
      <w:r>
        <w:rPr>
          <w:bCs/>
          <w:color w:val="000000"/>
        </w:rPr>
        <w:t>Bankacılık ve Sigortacılık</w:t>
      </w:r>
      <w:r w:rsidRPr="001976C6">
        <w:rPr>
          <w:bCs/>
          <w:color w:val="000000"/>
        </w:rPr>
        <w:t xml:space="preserve"> </w:t>
      </w:r>
      <w:r w:rsidR="001976C6" w:rsidRPr="001976C6">
        <w:rPr>
          <w:bCs/>
          <w:color w:val="000000"/>
        </w:rPr>
        <w:t>Programı da bu sistemi</w:t>
      </w:r>
      <w:r w:rsidR="001976C6">
        <w:rPr>
          <w:bCs/>
          <w:color w:val="000000"/>
        </w:rPr>
        <w:t xml:space="preserve"> </w:t>
      </w:r>
      <w:r w:rsidR="001976C6" w:rsidRPr="001976C6">
        <w:rPr>
          <w:bCs/>
          <w:color w:val="000000"/>
        </w:rPr>
        <w:t>kullanarak ihtiyaç ve şartlara göre sürekli iyileştirmeler yap</w:t>
      </w:r>
      <w:r w:rsidR="001976C6">
        <w:rPr>
          <w:bCs/>
          <w:color w:val="000000"/>
        </w:rPr>
        <w:t xml:space="preserve">maktadır. </w:t>
      </w:r>
    </w:p>
    <w:p w14:paraId="08FF75D8" w14:textId="4B874223" w:rsidR="00EB4334" w:rsidRDefault="004D7FD7" w:rsidP="00EB4334">
      <w:pPr>
        <w:spacing w:before="140" w:after="0" w:line="360" w:lineRule="auto"/>
        <w:ind w:left="120" w:right="120"/>
        <w:rPr>
          <w:bCs/>
          <w:color w:val="000000"/>
        </w:rPr>
      </w:pPr>
      <w:r>
        <w:rPr>
          <w:bCs/>
          <w:color w:val="000000"/>
        </w:rPr>
        <w:t>Bankacılık ve Sigortacılık</w:t>
      </w:r>
      <w:r w:rsidRPr="001976C6">
        <w:rPr>
          <w:bCs/>
          <w:color w:val="000000"/>
        </w:rPr>
        <w:t xml:space="preserve"> </w:t>
      </w:r>
      <w:r w:rsidR="001976C6">
        <w:rPr>
          <w:bCs/>
          <w:color w:val="000000"/>
        </w:rPr>
        <w:t xml:space="preserve">Programı olarak </w:t>
      </w:r>
      <w:r w:rsidR="001976C6">
        <w:t xml:space="preserve">Yönetişim politikamız, şeffaflık, hesap verebilirlik ve sürekli iyileştirme prensiplerine dayanmaktadır. </w:t>
      </w:r>
      <w:r>
        <w:rPr>
          <w:bCs/>
          <w:color w:val="000000"/>
        </w:rPr>
        <w:t>Bankacılık ve Sigortacılık</w:t>
      </w:r>
      <w:r w:rsidRPr="001976C6">
        <w:rPr>
          <w:bCs/>
          <w:color w:val="000000"/>
        </w:rPr>
        <w:t xml:space="preserve"> </w:t>
      </w:r>
      <w:r w:rsidR="001976C6">
        <w:t>Programı, öğrencilerimiz, akademik ve idari personelimiz ile dış paydaşlarımızın geri bildirimlerini esas alarak, katılımcı ve kapsayıcı bir anlayışla sürekli iyileştirme süreçlerini sürdürmekte; karar alma mekanizmalarında tüm paydaşların katkılarını sistematik biçimde değerlendirmektedir.</w:t>
      </w:r>
    </w:p>
    <w:p w14:paraId="0C06BF48" w14:textId="4B29B181" w:rsidR="0087750E" w:rsidRDefault="001976C6" w:rsidP="00EB4334">
      <w:pPr>
        <w:spacing w:before="140" w:after="0" w:line="360" w:lineRule="auto"/>
        <w:ind w:left="120" w:right="120"/>
      </w:pPr>
      <w:r>
        <w:t>Kalite politikası, eğitim ve öğretim süreçlerinde yüksek standartların sağlanması esasına dayandırılmıştır. Müfredat</w:t>
      </w:r>
      <w:r w:rsidR="00EB4334">
        <w:t xml:space="preserve"> </w:t>
      </w:r>
      <w:r>
        <w:t>düzenli olarak güncellenmekte; bu yolla öğrencilere çağın ihtiyaçlarına uygun bilgi ve becerilerin kazandırılması hedeflenmektedir. Sunulan staj ve iş deneyimi olanakları aracılığıyla, öğrencilerin teorik bilgilerini uygulamaya dönüştürmeleri desteklenmektedir. Eğitim-öğretim hizmetlerinin kalitesinin sürdürülebilirliği amacıyla kalite yönetim sistemi düzenli olarak izlenmekte ve değerlendirilmektedir; bu kapsamda sürekli iyileştirme taahhüt edilmektedir</w:t>
      </w:r>
      <w:r w:rsidR="00C8278C">
        <w:t>.</w:t>
      </w:r>
    </w:p>
    <w:p w14:paraId="51BADD76" w14:textId="77777777" w:rsidR="00C8278C" w:rsidRDefault="00C8278C" w:rsidP="00C8278C">
      <w:pPr>
        <w:pBdr>
          <w:top w:val="nil"/>
          <w:left w:val="nil"/>
          <w:bottom w:val="nil"/>
          <w:right w:val="nil"/>
          <w:between w:val="nil"/>
        </w:pBdr>
        <w:tabs>
          <w:tab w:val="left" w:pos="0"/>
        </w:tabs>
        <w:spacing w:line="360" w:lineRule="auto"/>
        <w:jc w:val="center"/>
        <w:rPr>
          <w:b/>
          <w:color w:val="000000"/>
        </w:rPr>
      </w:pPr>
      <w:r>
        <w:rPr>
          <w:b/>
          <w:color w:val="000000"/>
        </w:rPr>
        <w:t>EĞİTİM VE ÖĞRETİM POLİTİKA</w:t>
      </w:r>
      <w:r>
        <w:rPr>
          <w:b/>
        </w:rPr>
        <w:t>SI</w:t>
      </w:r>
    </w:p>
    <w:p w14:paraId="08CECC2A" w14:textId="77777777" w:rsidR="00C8278C" w:rsidRPr="003C4997" w:rsidRDefault="00C8278C" w:rsidP="00C8278C">
      <w:pPr>
        <w:pBdr>
          <w:top w:val="nil"/>
          <w:left w:val="nil"/>
          <w:bottom w:val="nil"/>
          <w:right w:val="nil"/>
          <w:between w:val="nil"/>
        </w:pBdr>
        <w:tabs>
          <w:tab w:val="left" w:pos="0"/>
        </w:tabs>
        <w:spacing w:line="360" w:lineRule="auto"/>
        <w:rPr>
          <w:b/>
          <w:color w:val="000000"/>
        </w:rPr>
      </w:pPr>
      <w:r>
        <w:t>Antalya Belek Üniversitesi, Bankacılık ve Sigortacılık Programı'nda Türkiye Yükseköğretim Yeterlilikleri Çerçevesi ile uyumlu, bilimsel yaklaşım, eleştirel düşünce ve uygulamalı öğrenmeye dayanan, öğrenci merkezli ve yetkinlik temelli öğretim, ölçme ve değerlendirme yöntemlerini uygulayan bir eğitim ve öğretim politikasını benimsemektedir.</w:t>
      </w:r>
      <w:r w:rsidRPr="003C4997">
        <w:t xml:space="preserve"> </w:t>
      </w:r>
      <w:r>
        <w:t>Bankacılık ve Sigortacılık Programı, nitelikli öğretim elemanlarıyla, ulusal ve küresel ihtiyaçlara göre tasarlanmış öğrenme odaklı eğitim-öğretim programlarının yürütülmesini ve değişen dünyaya uyum gösteren yetkinlikte mezunlar yetiştirilmesini hedeflemektedir.</w:t>
      </w:r>
    </w:p>
    <w:p w14:paraId="007B2800" w14:textId="77777777" w:rsidR="00C8278C" w:rsidRDefault="00C8278C" w:rsidP="00C8278C">
      <w:pPr>
        <w:spacing w:before="140" w:after="0" w:line="360" w:lineRule="auto"/>
        <w:ind w:right="120"/>
      </w:pPr>
      <w:r>
        <w:lastRenderedPageBreak/>
        <w:t>Eğitim kadromuz, alanında uzman ve deneyimli akademisyenlerden oluşmakta olup, alandaki yenilikleri ve gelişmeleri yakından takip etmektedir. Program kapsamında, öğretim elemanlarının sürekli mesleki gelişimlerinin desteklenmesi amaçlanmaktadır. Bu doğrultuda, öğretim elemanlarının alanlarındaki güncel bilgi ve becerilere erişimlerinin sağlanması amacıyla düzenli olarak çeşitli eğitim faaliyetlerine katılımları teşvik edilmektedir. Söz konusu eğitimler, öğretim yöntemlerinin güncellenmesi, sektörle ilgili en son gelişmelerin izlenmesi ve akademik araştırma yeterliklerinin artırılması hedefleriyle planlanmaktadır.</w:t>
      </w:r>
      <w:r w:rsidRPr="003C4997">
        <w:t xml:space="preserve"> </w:t>
      </w:r>
      <w:r>
        <w:t>Öğretim elemanlarının mesleki gelişimlerine katkı sağlamak üzere ulusal ve uluslararası düzeyde akademik iş birliklerine ve projelere katılım sağlanmaktadır. Bu iş birlikleri; bilimsel araştırma projeleri, akademik kongre ve konferanslara katılım ile yayın faaliyetleri yoluyla gerçekleştirilmektedir. Öğrencilerin akademik gelişim süreçlerinin desteklenmesi amacıyla kapsamlı akademik danışmanlık hizmetleri sunulmaktadır. Bu kapsamda, öğrencilerin ders seçimi, akademik performans takibi ve kariyer planlaması konularında danışmanlık hizmeti alabilmeleri sağlanmaktadır.</w:t>
      </w:r>
      <w:r w:rsidRPr="003C4997">
        <w:t xml:space="preserve"> </w:t>
      </w:r>
      <w:r>
        <w:t>Öğrencilerin psikolojik ve sosyal iyi oluş hâlinin desteklenmesi amacıyla çeşitli danışmanlık ve destek hizmetleri sunulmaktadır. Bu hizmetler; stres yönetimi, kişisel gelişim ve sosyal uyum alanlarında öğrencilere destek sağlamayı hedeflemekte olup, öğrencilerin üniversite yaşamına daha sağlıklı bir şekilde uyum sağlamalarına katkıda bulunmaktadır.</w:t>
      </w:r>
    </w:p>
    <w:p w14:paraId="38116D26" w14:textId="77777777" w:rsidR="00C8278C" w:rsidRDefault="00C8278C" w:rsidP="00C8278C">
      <w:pPr>
        <w:pBdr>
          <w:top w:val="nil"/>
          <w:left w:val="nil"/>
          <w:bottom w:val="nil"/>
          <w:right w:val="nil"/>
          <w:between w:val="nil"/>
        </w:pBdr>
        <w:tabs>
          <w:tab w:val="left" w:pos="-142"/>
        </w:tabs>
        <w:spacing w:line="360" w:lineRule="auto"/>
        <w:jc w:val="center"/>
        <w:rPr>
          <w:b/>
          <w:color w:val="000000"/>
        </w:rPr>
      </w:pPr>
      <w:r>
        <w:rPr>
          <w:b/>
          <w:color w:val="000000"/>
        </w:rPr>
        <w:t>ARAŞTIRMA-GELİŞTİRME KALİTE POLİTİKA</w:t>
      </w:r>
      <w:r>
        <w:rPr>
          <w:b/>
        </w:rPr>
        <w:t>SI</w:t>
      </w:r>
    </w:p>
    <w:p w14:paraId="0F95258C" w14:textId="77777777" w:rsidR="00C8278C" w:rsidRPr="00853C33" w:rsidRDefault="00C8278C" w:rsidP="00C8278C">
      <w:pPr>
        <w:spacing w:line="360" w:lineRule="auto"/>
      </w:pPr>
      <w:r>
        <w:t>Antalya Belek Üniversitesi Bankacılık ve Sigortacılık</w:t>
      </w:r>
      <w:r w:rsidRPr="00853C33">
        <w:t xml:space="preserve"> Programı, araştırma ve geliştirme faaliyetlerini, eğitim-öğretim kalitesini artırma, mesleki bilgi birikimini güçlendirme ve toplumsal sorunlara bilimsel çözümler üretme amacıyla yürütmektedir. Program bünyesindeki Ar-</w:t>
      </w:r>
      <w:proofErr w:type="spellStart"/>
      <w:r w:rsidRPr="00853C33">
        <w:t>Ge</w:t>
      </w:r>
      <w:proofErr w:type="spellEnd"/>
      <w:r w:rsidRPr="00853C33">
        <w:t xml:space="preserve"> politikası, ulusal ve uluslararası düzeyde bilimsel üretimi destekleyen, disiplinler arası iş birliklerini teşvik eden ve topluma katkı sağlayan bir yaklaşım üzerine yapılandırılmıştır.</w:t>
      </w:r>
    </w:p>
    <w:p w14:paraId="67CE1E0F" w14:textId="77777777" w:rsidR="00C8278C" w:rsidRDefault="00C8278C" w:rsidP="00C8278C">
      <w:pPr>
        <w:spacing w:line="360" w:lineRule="auto"/>
      </w:pPr>
      <w:r>
        <w:t>Bankacılık ve Sigortacılık</w:t>
      </w:r>
      <w:r w:rsidRPr="00853C33">
        <w:t xml:space="preserve"> </w:t>
      </w:r>
      <w:r>
        <w:t>alanındaki bilgi, beceri, deneyimlerini, donanımlarını ve çıktılarını</w:t>
      </w:r>
    </w:p>
    <w:p w14:paraId="69641A1C" w14:textId="77777777" w:rsidR="00C8278C" w:rsidRDefault="00C8278C" w:rsidP="00C8278C">
      <w:pPr>
        <w:spacing w:line="360" w:lineRule="auto"/>
      </w:pPr>
      <w:proofErr w:type="gramStart"/>
      <w:r>
        <w:t>toplumsal</w:t>
      </w:r>
      <w:proofErr w:type="gramEnd"/>
      <w:r>
        <w:t xml:space="preserve"> katkı bilinciyle paylaşan,</w:t>
      </w:r>
    </w:p>
    <w:p w14:paraId="404A9D42" w14:textId="77777777" w:rsidR="00C8278C" w:rsidRDefault="00C8278C" w:rsidP="00C8278C">
      <w:pPr>
        <w:pStyle w:val="ListeParagraf"/>
        <w:numPr>
          <w:ilvl w:val="0"/>
          <w:numId w:val="2"/>
        </w:numPr>
        <w:spacing w:line="360" w:lineRule="auto"/>
      </w:pPr>
      <w:r>
        <w:t>Sürdürülebilir eğitim-bilim ekosistemi oluşturarak, bilgi ve teknolojiyi insana ve topluma fayda ilkesi çerçevesinde yaşam boyu eğitim ve gelişim sürecine uyarlayarak katkıda bulunan,</w:t>
      </w:r>
    </w:p>
    <w:p w14:paraId="097FB4D6" w14:textId="77777777" w:rsidR="00C8278C" w:rsidRDefault="00C8278C" w:rsidP="00C8278C">
      <w:pPr>
        <w:pStyle w:val="ListeParagraf"/>
        <w:numPr>
          <w:ilvl w:val="0"/>
          <w:numId w:val="2"/>
        </w:numPr>
        <w:spacing w:line="360" w:lineRule="auto"/>
      </w:pPr>
      <w:r>
        <w:lastRenderedPageBreak/>
        <w:t>Araştırıcı, sorgulayıcı ve çözümleyici düşünce yapısında, hızla değişen dünya koşullarında topluma fayda sağlayabilecek, milli, manevi, kültürel ve insani değerlere saygılı ve bu değerleri içselleştirmiş öğrenciler yetiştiren, eğitimde ve bilimde lider ve rehber bir program olmayı ilke edinmiştir.</w:t>
      </w:r>
    </w:p>
    <w:p w14:paraId="0C30DA82" w14:textId="77777777" w:rsidR="00C8278C" w:rsidRDefault="00C8278C" w:rsidP="00C8278C">
      <w:pPr>
        <w:pStyle w:val="ListeParagraf"/>
        <w:spacing w:line="360" w:lineRule="auto"/>
        <w:jc w:val="center"/>
        <w:rPr>
          <w:b/>
        </w:rPr>
      </w:pPr>
    </w:p>
    <w:p w14:paraId="1BA43D8E" w14:textId="6C01629C" w:rsidR="00C8278C" w:rsidRPr="00C8278C" w:rsidRDefault="00C8278C" w:rsidP="00C8278C">
      <w:pPr>
        <w:pStyle w:val="ListeParagraf"/>
        <w:spacing w:line="360" w:lineRule="auto"/>
        <w:jc w:val="center"/>
        <w:rPr>
          <w:b/>
        </w:rPr>
      </w:pPr>
      <w:r w:rsidRPr="00C8278C">
        <w:rPr>
          <w:b/>
        </w:rPr>
        <w:t>TOPLUMSAL KATKI POLİTİKASI</w:t>
      </w:r>
    </w:p>
    <w:p w14:paraId="06DA3899" w14:textId="77777777" w:rsidR="00C8278C" w:rsidRDefault="00C8278C" w:rsidP="00C8278C">
      <w:pPr>
        <w:pStyle w:val="ListeParagraf"/>
        <w:numPr>
          <w:ilvl w:val="0"/>
          <w:numId w:val="2"/>
        </w:numPr>
        <w:spacing w:before="140" w:after="0" w:line="360" w:lineRule="auto"/>
        <w:ind w:right="120"/>
      </w:pPr>
      <w:r>
        <w:t>Antalya Belek Üniversitesi Bankacılık ve Sigortacılık Programı, evrensel ve toplumsal değerlere saygılı şekilde ülkesinin ve insanlığın refahına katkı sunmayı temel değer olarak benimsemektedir. Bu değerler, programın tüm faaliyetlerinde ve eğitim yaklaşımında rehberlik etmektedir. Bankacılık ve Sigortacılık Programı, “Topluma Dokunan ve Kapsayıcı Üniversite” kimliği ile insan ve hayvan haklarına duyarlı, çevre dostu ve değişime ayak uyduran bir üniversite olma çabasını sürdürmektedir. Bankacılık ve Sigortacılık Program, öğrencilerini bu değerler doğrultusunda yetiştirerek, öğrencilerin topluma faydalı bireyler olmasını sağlamayı amaçlamaktadır.</w:t>
      </w:r>
    </w:p>
    <w:p w14:paraId="5F2C461F" w14:textId="77777777" w:rsidR="00C8278C" w:rsidRDefault="00C8278C" w:rsidP="00C8278C">
      <w:pPr>
        <w:spacing w:line="360" w:lineRule="auto"/>
        <w:jc w:val="center"/>
        <w:rPr>
          <w:b/>
        </w:rPr>
      </w:pPr>
    </w:p>
    <w:p w14:paraId="3423E070" w14:textId="31212244" w:rsidR="00C8278C" w:rsidRDefault="00C8278C" w:rsidP="00C8278C">
      <w:pPr>
        <w:spacing w:line="360" w:lineRule="auto"/>
        <w:jc w:val="center"/>
        <w:rPr>
          <w:b/>
        </w:rPr>
      </w:pPr>
      <w:r>
        <w:rPr>
          <w:b/>
        </w:rPr>
        <w:t>HESAP VERİLEBİLİRLİK POLİTİKASI</w:t>
      </w:r>
    </w:p>
    <w:p w14:paraId="5F65FFC1" w14:textId="77777777" w:rsidR="00C8278C" w:rsidRDefault="00C8278C" w:rsidP="00C8278C">
      <w:pPr>
        <w:spacing w:before="140" w:after="0" w:line="360" w:lineRule="auto"/>
        <w:ind w:right="120"/>
      </w:pPr>
      <w:r>
        <w:t>Antalya Belek Üniversitesi Bankacılık ve Sigortacılık Programı, yükseköğretimde şeffaflık ve sorumluluk ilkeleri doğrultusunda, tüm faaliyetlerini izlenebilir, değerlendirilebilir ve belgelendirilebilir şekilde yürütmeyi taahhüt etmektedir. Hesap verebilirlik politikası, başta öğrenciler olmak üzere tüm paydaşlara karşı etik sorumluluk anlayışıyla oluşturulmuş ve kalite güvence sistemi ile bütünleştirilmiştir.</w:t>
      </w:r>
    </w:p>
    <w:p w14:paraId="67116B7F" w14:textId="77777777" w:rsidR="00C8278C" w:rsidRDefault="00C8278C" w:rsidP="00C8278C">
      <w:pPr>
        <w:spacing w:before="140" w:after="0" w:line="360" w:lineRule="auto"/>
        <w:ind w:right="120"/>
      </w:pPr>
      <w:r>
        <w:t>Bu kapsamda, Bankacılık ve Sigortacılık Programı’nın hesap verebilirlik politikası aşağıdaki esaslara dayanmaktadır:</w:t>
      </w:r>
    </w:p>
    <w:p w14:paraId="2255E5EB" w14:textId="77777777" w:rsidR="00C8278C" w:rsidRPr="000D1FD3" w:rsidRDefault="00C8278C" w:rsidP="00C8278C">
      <w:pPr>
        <w:pStyle w:val="ListeParagraf"/>
        <w:numPr>
          <w:ilvl w:val="0"/>
          <w:numId w:val="2"/>
        </w:numPr>
        <w:spacing w:before="140" w:after="0" w:line="360" w:lineRule="auto"/>
        <w:ind w:right="120"/>
        <w:rPr>
          <w:color w:val="1A1A1A"/>
        </w:rPr>
      </w:pPr>
      <w:r w:rsidRPr="000D1FD3">
        <w:rPr>
          <w:color w:val="1A1A1A"/>
        </w:rPr>
        <w:t>Eğitim – öğretim, araştırma – geliştirme ve topluma hizmet çalışmalarını kamuoyu ile paylaşarak ilgili bütün bilgi ve raporları zamanında ve doğru olarak yayımlamak.</w:t>
      </w:r>
    </w:p>
    <w:p w14:paraId="546228BC" w14:textId="77777777" w:rsidR="00C8278C" w:rsidRPr="000D1FD3" w:rsidRDefault="00C8278C" w:rsidP="00C8278C">
      <w:pPr>
        <w:pStyle w:val="ListeParagraf"/>
        <w:numPr>
          <w:ilvl w:val="0"/>
          <w:numId w:val="2"/>
        </w:numPr>
        <w:shd w:val="clear" w:color="auto" w:fill="FFFFFF"/>
        <w:tabs>
          <w:tab w:val="clear" w:pos="4536"/>
        </w:tabs>
        <w:spacing w:after="0" w:line="360" w:lineRule="auto"/>
        <w:rPr>
          <w:color w:val="1A1A1A"/>
        </w:rPr>
      </w:pPr>
      <w:r w:rsidRPr="000D1FD3">
        <w:rPr>
          <w:color w:val="1A1A1A"/>
        </w:rPr>
        <w:t>Hizmet standartlarına uygun hareket etmek.</w:t>
      </w:r>
    </w:p>
    <w:p w14:paraId="54C18F42" w14:textId="77777777" w:rsidR="00C8278C" w:rsidRPr="000D1FD3" w:rsidRDefault="00C8278C" w:rsidP="00C8278C">
      <w:pPr>
        <w:pStyle w:val="ListeParagraf"/>
        <w:numPr>
          <w:ilvl w:val="0"/>
          <w:numId w:val="2"/>
        </w:numPr>
        <w:shd w:val="clear" w:color="auto" w:fill="FFFFFF"/>
        <w:tabs>
          <w:tab w:val="clear" w:pos="4536"/>
        </w:tabs>
        <w:spacing w:after="0" w:line="360" w:lineRule="auto"/>
        <w:rPr>
          <w:color w:val="1A1A1A"/>
        </w:rPr>
      </w:pPr>
      <w:r w:rsidRPr="000D1FD3">
        <w:rPr>
          <w:color w:val="1A1A1A"/>
        </w:rPr>
        <w:t>Üniversitemizin amaçlarını, misyon ve vizyonunu paylaşmak ve takip etmek.</w:t>
      </w:r>
    </w:p>
    <w:p w14:paraId="20A1C473" w14:textId="77777777" w:rsidR="00C8278C" w:rsidRPr="000D1FD3" w:rsidRDefault="00C8278C" w:rsidP="00C8278C">
      <w:pPr>
        <w:pStyle w:val="ListeParagraf"/>
        <w:numPr>
          <w:ilvl w:val="0"/>
          <w:numId w:val="2"/>
        </w:numPr>
        <w:shd w:val="clear" w:color="auto" w:fill="FFFFFF"/>
        <w:tabs>
          <w:tab w:val="clear" w:pos="4536"/>
        </w:tabs>
        <w:spacing w:after="0" w:line="360" w:lineRule="auto"/>
        <w:rPr>
          <w:color w:val="1A1A1A"/>
        </w:rPr>
      </w:pPr>
      <w:r w:rsidRPr="000D1FD3">
        <w:rPr>
          <w:color w:val="1A1A1A"/>
        </w:rPr>
        <w:t>Kurum içi ve dışı tüm davranış ve ilişkilerimizde dürüstlük ve tarafsızlık.</w:t>
      </w:r>
    </w:p>
    <w:p w14:paraId="78FA31B6" w14:textId="77777777" w:rsidR="00C8278C" w:rsidRPr="000D1FD3" w:rsidRDefault="00C8278C" w:rsidP="00C8278C">
      <w:pPr>
        <w:pStyle w:val="ListeParagraf"/>
        <w:numPr>
          <w:ilvl w:val="0"/>
          <w:numId w:val="2"/>
        </w:numPr>
        <w:shd w:val="clear" w:color="auto" w:fill="FFFFFF"/>
        <w:tabs>
          <w:tab w:val="clear" w:pos="4536"/>
        </w:tabs>
        <w:spacing w:after="0" w:line="360" w:lineRule="auto"/>
        <w:rPr>
          <w:color w:val="1A1A1A"/>
        </w:rPr>
      </w:pPr>
      <w:r w:rsidRPr="000D1FD3">
        <w:rPr>
          <w:color w:val="1A1A1A"/>
        </w:rPr>
        <w:t>Bireysel ve kurumsal olarak saygınlık ve güveni sağlamak.</w:t>
      </w:r>
    </w:p>
    <w:p w14:paraId="31520D54" w14:textId="77777777" w:rsidR="00C8278C" w:rsidRPr="000D1FD3" w:rsidRDefault="00C8278C" w:rsidP="00C8278C">
      <w:pPr>
        <w:pStyle w:val="ListeParagraf"/>
        <w:numPr>
          <w:ilvl w:val="0"/>
          <w:numId w:val="2"/>
        </w:numPr>
        <w:shd w:val="clear" w:color="auto" w:fill="FFFFFF"/>
        <w:tabs>
          <w:tab w:val="clear" w:pos="4536"/>
        </w:tabs>
        <w:spacing w:after="0" w:line="360" w:lineRule="auto"/>
        <w:rPr>
          <w:color w:val="1A1A1A"/>
        </w:rPr>
      </w:pPr>
      <w:r w:rsidRPr="000D1FD3">
        <w:rPr>
          <w:color w:val="1A1A1A"/>
        </w:rPr>
        <w:lastRenderedPageBreak/>
        <w:t>Üniversitenin kaynaklarının kullanımında gerekli titizliği göstermek.</w:t>
      </w:r>
    </w:p>
    <w:p w14:paraId="33D60CE2" w14:textId="77777777" w:rsidR="00C8278C" w:rsidRPr="000D1FD3" w:rsidRDefault="00C8278C" w:rsidP="00C8278C">
      <w:pPr>
        <w:pStyle w:val="ListeParagraf"/>
        <w:numPr>
          <w:ilvl w:val="0"/>
          <w:numId w:val="2"/>
        </w:numPr>
        <w:shd w:val="clear" w:color="auto" w:fill="FFFFFF"/>
        <w:tabs>
          <w:tab w:val="clear" w:pos="4536"/>
        </w:tabs>
        <w:spacing w:after="0" w:line="360" w:lineRule="auto"/>
        <w:rPr>
          <w:color w:val="1A1A1A"/>
        </w:rPr>
      </w:pPr>
      <w:r w:rsidRPr="000D1FD3">
        <w:rPr>
          <w:color w:val="1A1A1A"/>
        </w:rPr>
        <w:t>Yetkisiz olarak kurumsal anlamda bağlayıcı veya gerçek dışı beyanda bulunmamak.</w:t>
      </w:r>
    </w:p>
    <w:p w14:paraId="35B90AE0" w14:textId="77777777" w:rsidR="00C8278C" w:rsidRPr="000D1FD3" w:rsidRDefault="00C8278C" w:rsidP="00C8278C">
      <w:pPr>
        <w:pStyle w:val="ListeParagraf"/>
        <w:numPr>
          <w:ilvl w:val="0"/>
          <w:numId w:val="2"/>
        </w:numPr>
        <w:shd w:val="clear" w:color="auto" w:fill="FFFFFF"/>
        <w:tabs>
          <w:tab w:val="clear" w:pos="4536"/>
        </w:tabs>
        <w:spacing w:after="0" w:line="360" w:lineRule="auto"/>
        <w:rPr>
          <w:color w:val="1A1A1A"/>
        </w:rPr>
      </w:pPr>
      <w:r w:rsidRPr="000D1FD3">
        <w:rPr>
          <w:color w:val="1A1A1A"/>
        </w:rPr>
        <w:t>Yürüttüğümüz hizmetlerde açıklık ve saydamlığı sağlamak.</w:t>
      </w:r>
    </w:p>
    <w:p w14:paraId="16E305E0" w14:textId="77777777" w:rsidR="00C8278C" w:rsidRPr="000D1FD3" w:rsidRDefault="00C8278C" w:rsidP="00C8278C">
      <w:pPr>
        <w:pStyle w:val="ListeParagraf"/>
        <w:numPr>
          <w:ilvl w:val="0"/>
          <w:numId w:val="2"/>
        </w:numPr>
        <w:shd w:val="clear" w:color="auto" w:fill="FFFFFF"/>
        <w:tabs>
          <w:tab w:val="clear" w:pos="4536"/>
        </w:tabs>
        <w:spacing w:after="0" w:line="360" w:lineRule="auto"/>
        <w:rPr>
          <w:color w:val="1A1A1A"/>
        </w:rPr>
      </w:pPr>
      <w:r w:rsidRPr="000D1FD3">
        <w:rPr>
          <w:color w:val="1A1A1A"/>
        </w:rPr>
        <w:t>Görevimizle ilgili hesap verme sorumluluğu bilinciyle hareket etmek.</w:t>
      </w:r>
    </w:p>
    <w:p w14:paraId="1E651554" w14:textId="77777777" w:rsidR="00C8278C" w:rsidRPr="000D1FD3" w:rsidRDefault="00C8278C" w:rsidP="00C8278C">
      <w:pPr>
        <w:pStyle w:val="ListeParagraf"/>
        <w:numPr>
          <w:ilvl w:val="0"/>
          <w:numId w:val="2"/>
        </w:numPr>
        <w:shd w:val="clear" w:color="auto" w:fill="FFFFFF"/>
        <w:tabs>
          <w:tab w:val="clear" w:pos="4536"/>
        </w:tabs>
        <w:spacing w:after="0" w:line="360" w:lineRule="auto"/>
        <w:rPr>
          <w:color w:val="1A1A1A"/>
        </w:rPr>
      </w:pPr>
      <w:r w:rsidRPr="000D1FD3">
        <w:rPr>
          <w:color w:val="1A1A1A"/>
        </w:rPr>
        <w:t>Önem arz eden bilgi ve belgeleri ilgisiz ve yetkisiz kişilerle paylaşmamak.</w:t>
      </w:r>
    </w:p>
    <w:p w14:paraId="26EFFEC6" w14:textId="77777777" w:rsidR="00C8278C" w:rsidRPr="000D1FD3" w:rsidRDefault="00C8278C" w:rsidP="00C8278C">
      <w:pPr>
        <w:pStyle w:val="ListeParagraf"/>
        <w:numPr>
          <w:ilvl w:val="0"/>
          <w:numId w:val="2"/>
        </w:numPr>
        <w:shd w:val="clear" w:color="auto" w:fill="FFFFFF"/>
        <w:tabs>
          <w:tab w:val="clear" w:pos="4536"/>
        </w:tabs>
        <w:spacing w:after="0" w:line="360" w:lineRule="auto"/>
        <w:rPr>
          <w:color w:val="1A1A1A"/>
        </w:rPr>
      </w:pPr>
      <w:r w:rsidRPr="000D1FD3">
        <w:rPr>
          <w:color w:val="1A1A1A"/>
        </w:rPr>
        <w:t>Dış ve iç paydaşların bilgi taleplerini mevzuat çerçevesinde zamanında ve doğru olarak karşılamak.</w:t>
      </w:r>
    </w:p>
    <w:p w14:paraId="600DC1CD" w14:textId="77777777" w:rsidR="00C8278C" w:rsidRPr="000D1FD3" w:rsidRDefault="00C8278C" w:rsidP="00C8278C">
      <w:pPr>
        <w:pStyle w:val="ListeParagraf"/>
        <w:numPr>
          <w:ilvl w:val="0"/>
          <w:numId w:val="2"/>
        </w:numPr>
        <w:shd w:val="clear" w:color="auto" w:fill="FFFFFF"/>
        <w:tabs>
          <w:tab w:val="clear" w:pos="4536"/>
        </w:tabs>
        <w:spacing w:after="0" w:line="360" w:lineRule="auto"/>
        <w:rPr>
          <w:color w:val="1A1A1A"/>
        </w:rPr>
      </w:pPr>
      <w:r w:rsidRPr="000D1FD3">
        <w:rPr>
          <w:color w:val="1A1A1A"/>
        </w:rPr>
        <w:t>Yönetim bilgisini zamanında ve doğru olarak üst yönetime sunmak.</w:t>
      </w:r>
    </w:p>
    <w:p w14:paraId="2F0028A4" w14:textId="77777777" w:rsidR="00C8278C" w:rsidRDefault="00C8278C" w:rsidP="00C8278C">
      <w:pPr>
        <w:pStyle w:val="ListeParagraf"/>
        <w:numPr>
          <w:ilvl w:val="0"/>
          <w:numId w:val="2"/>
        </w:numPr>
        <w:spacing w:before="140" w:after="0" w:line="360" w:lineRule="auto"/>
        <w:ind w:right="120"/>
      </w:pPr>
    </w:p>
    <w:p w14:paraId="74FAB9E8" w14:textId="77777777" w:rsidR="00C8278C" w:rsidRPr="00EB4334" w:rsidRDefault="00C8278C" w:rsidP="00EB4334">
      <w:pPr>
        <w:spacing w:before="140" w:after="0" w:line="360" w:lineRule="auto"/>
        <w:ind w:left="120" w:right="120"/>
        <w:rPr>
          <w:bCs/>
          <w:color w:val="000000"/>
        </w:rPr>
      </w:pPr>
    </w:p>
    <w:p w14:paraId="79E4E1A4" w14:textId="77777777" w:rsidR="0087750E" w:rsidRDefault="0087750E"/>
    <w:sectPr w:rsidR="0087750E">
      <w:headerReference w:type="default" r:id="rId8"/>
      <w:footerReference w:type="default" r:id="rId9"/>
      <w:pgSz w:w="11906" w:h="16838"/>
      <w:pgMar w:top="1417" w:right="1417" w:bottom="1417" w:left="1417" w:header="567"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D182" w14:textId="77777777" w:rsidR="00F85601" w:rsidRDefault="00F85601">
      <w:pPr>
        <w:spacing w:after="0"/>
      </w:pPr>
      <w:r>
        <w:separator/>
      </w:r>
    </w:p>
  </w:endnote>
  <w:endnote w:type="continuationSeparator" w:id="0">
    <w:p w14:paraId="172FB82F" w14:textId="77777777" w:rsidR="00F85601" w:rsidRDefault="00F856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1"/>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0"/>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3686"/>
      <w:gridCol w:w="3717"/>
      <w:gridCol w:w="3371"/>
    </w:tblGrid>
    <w:tr w:rsidR="0087750E" w14:paraId="514E28E9" w14:textId="77777777">
      <w:trPr>
        <w:trHeight w:val="434"/>
      </w:trPr>
      <w:tc>
        <w:tcPr>
          <w:tcW w:w="3686" w:type="dxa"/>
          <w:vAlign w:val="center"/>
        </w:tcPr>
        <w:p w14:paraId="79D0776F" w14:textId="38951A96" w:rsidR="0087750E" w:rsidRDefault="00C8278C">
          <w:pPr>
            <w:pBdr>
              <w:top w:val="nil"/>
              <w:left w:val="nil"/>
              <w:bottom w:val="nil"/>
              <w:right w:val="nil"/>
              <w:between w:val="nil"/>
            </w:pBdr>
            <w:tabs>
              <w:tab w:val="right" w:pos="9072"/>
            </w:tabs>
            <w:jc w:val="center"/>
            <w:rPr>
              <w:b/>
              <w:color w:val="000000"/>
            </w:rPr>
          </w:pPr>
          <w:r>
            <w:rPr>
              <w:b/>
              <w:color w:val="000000"/>
            </w:rPr>
            <w:t>H</w:t>
          </w:r>
          <w:r>
            <w:rPr>
              <w:b/>
              <w:color w:val="000000"/>
            </w:rPr>
            <w:t>azırlayan</w:t>
          </w:r>
        </w:p>
      </w:tc>
      <w:tc>
        <w:tcPr>
          <w:tcW w:w="3717" w:type="dxa"/>
          <w:vAlign w:val="center"/>
        </w:tcPr>
        <w:p w14:paraId="4D82E58B" w14:textId="77777777" w:rsidR="0087750E" w:rsidRDefault="00C8278C">
          <w:pPr>
            <w:pBdr>
              <w:top w:val="nil"/>
              <w:left w:val="nil"/>
              <w:bottom w:val="nil"/>
              <w:right w:val="nil"/>
              <w:between w:val="nil"/>
            </w:pBdr>
            <w:tabs>
              <w:tab w:val="right" w:pos="9072"/>
            </w:tabs>
            <w:jc w:val="center"/>
            <w:rPr>
              <w:b/>
              <w:color w:val="000000"/>
              <w:sz w:val="16"/>
              <w:szCs w:val="16"/>
            </w:rPr>
          </w:pPr>
          <w:r>
            <w:rPr>
              <w:b/>
              <w:color w:val="000000"/>
            </w:rPr>
            <w:t>Kontrol Eden</w:t>
          </w:r>
        </w:p>
      </w:tc>
      <w:tc>
        <w:tcPr>
          <w:tcW w:w="3371" w:type="dxa"/>
          <w:vAlign w:val="center"/>
        </w:tcPr>
        <w:p w14:paraId="31ACE807" w14:textId="77777777" w:rsidR="0087750E" w:rsidRDefault="00C8278C">
          <w:pPr>
            <w:pBdr>
              <w:top w:val="nil"/>
              <w:left w:val="nil"/>
              <w:bottom w:val="nil"/>
              <w:right w:val="nil"/>
              <w:between w:val="nil"/>
            </w:pBdr>
            <w:tabs>
              <w:tab w:val="right" w:pos="9072"/>
            </w:tabs>
            <w:jc w:val="center"/>
            <w:rPr>
              <w:b/>
              <w:color w:val="000000"/>
              <w:sz w:val="16"/>
              <w:szCs w:val="16"/>
            </w:rPr>
          </w:pPr>
          <w:r>
            <w:rPr>
              <w:b/>
              <w:color w:val="000000"/>
            </w:rPr>
            <w:t>Yayın Onayı</w:t>
          </w:r>
        </w:p>
      </w:tc>
    </w:tr>
    <w:tr w:rsidR="00C8278C" w14:paraId="3F3430D8" w14:textId="77777777">
      <w:trPr>
        <w:trHeight w:val="464"/>
      </w:trPr>
      <w:tc>
        <w:tcPr>
          <w:tcW w:w="3686" w:type="dxa"/>
          <w:vAlign w:val="center"/>
        </w:tcPr>
        <w:p w14:paraId="3E8460B7" w14:textId="501CA447" w:rsidR="00C8278C" w:rsidRDefault="00C8278C" w:rsidP="00C8278C">
          <w:pPr>
            <w:pBdr>
              <w:top w:val="nil"/>
              <w:left w:val="nil"/>
              <w:bottom w:val="nil"/>
              <w:right w:val="nil"/>
              <w:between w:val="nil"/>
            </w:pBdr>
            <w:tabs>
              <w:tab w:val="right" w:pos="9072"/>
            </w:tabs>
            <w:jc w:val="center"/>
            <w:rPr>
              <w:color w:val="000000"/>
            </w:rPr>
          </w:pPr>
          <w:r w:rsidRPr="00B53807">
            <w:t xml:space="preserve">Bankacılık </w:t>
          </w:r>
          <w:r>
            <w:t>v</w:t>
          </w:r>
          <w:r w:rsidRPr="00B53807">
            <w:t>e Sigortacılık Program</w:t>
          </w:r>
          <w:r>
            <w:t xml:space="preserve"> Başkanlığı</w:t>
          </w:r>
        </w:p>
      </w:tc>
      <w:tc>
        <w:tcPr>
          <w:tcW w:w="3717" w:type="dxa"/>
          <w:vAlign w:val="center"/>
        </w:tcPr>
        <w:p w14:paraId="777F1FCC" w14:textId="564DCB36" w:rsidR="00C8278C" w:rsidRDefault="00C8278C" w:rsidP="00C8278C">
          <w:pPr>
            <w:pBdr>
              <w:top w:val="nil"/>
              <w:left w:val="nil"/>
              <w:bottom w:val="nil"/>
              <w:right w:val="nil"/>
              <w:between w:val="nil"/>
            </w:pBdr>
            <w:tabs>
              <w:tab w:val="right" w:pos="9072"/>
            </w:tabs>
            <w:jc w:val="center"/>
            <w:rPr>
              <w:color w:val="000000"/>
            </w:rPr>
          </w:pPr>
          <w:r w:rsidRPr="00FA108B">
            <w:t>Kalite Koordinatör</w:t>
          </w:r>
          <w:r>
            <w:t>lüğü</w:t>
          </w:r>
        </w:p>
      </w:tc>
      <w:tc>
        <w:tcPr>
          <w:tcW w:w="3371" w:type="dxa"/>
          <w:vAlign w:val="center"/>
        </w:tcPr>
        <w:p w14:paraId="62F3D4B6" w14:textId="77777777" w:rsidR="00C8278C" w:rsidRDefault="00C8278C" w:rsidP="00C8278C">
          <w:pPr>
            <w:pBdr>
              <w:top w:val="nil"/>
              <w:left w:val="nil"/>
              <w:bottom w:val="nil"/>
              <w:right w:val="nil"/>
              <w:between w:val="nil"/>
            </w:pBdr>
            <w:tabs>
              <w:tab w:val="right" w:pos="9072"/>
            </w:tabs>
            <w:jc w:val="center"/>
            <w:rPr>
              <w:color w:val="000000"/>
            </w:rPr>
          </w:pPr>
          <w:r>
            <w:rPr>
              <w:color w:val="000000"/>
            </w:rPr>
            <w:t>Rektör Yardımcısı</w:t>
          </w:r>
        </w:p>
      </w:tc>
    </w:tr>
  </w:tbl>
  <w:p w14:paraId="5042A96E" w14:textId="77777777" w:rsidR="0087750E" w:rsidRDefault="0087750E">
    <w:pPr>
      <w:pBdr>
        <w:top w:val="nil"/>
        <w:left w:val="nil"/>
        <w:bottom w:val="nil"/>
        <w:right w:val="nil"/>
        <w:between w:val="nil"/>
      </w:pBdr>
      <w:tabs>
        <w:tab w:val="right" w:pos="9072"/>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9CD0" w14:textId="77777777" w:rsidR="00F85601" w:rsidRDefault="00F85601">
      <w:pPr>
        <w:spacing w:after="0"/>
      </w:pPr>
      <w:r>
        <w:separator/>
      </w:r>
    </w:p>
  </w:footnote>
  <w:footnote w:type="continuationSeparator" w:id="0">
    <w:p w14:paraId="648549B1" w14:textId="77777777" w:rsidR="00F85601" w:rsidRDefault="00F856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52A8" w14:textId="77777777" w:rsidR="0087750E" w:rsidRDefault="0087750E">
    <w:pPr>
      <w:widowControl w:val="0"/>
      <w:pBdr>
        <w:top w:val="nil"/>
        <w:left w:val="nil"/>
        <w:bottom w:val="nil"/>
        <w:right w:val="nil"/>
        <w:between w:val="nil"/>
      </w:pBdr>
      <w:spacing w:after="0" w:line="276" w:lineRule="auto"/>
      <w:jc w:val="left"/>
    </w:pPr>
  </w:p>
  <w:tbl>
    <w:tblPr>
      <w:tblStyle w:val="a"/>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2593"/>
      <w:gridCol w:w="4789"/>
      <w:gridCol w:w="1834"/>
      <w:gridCol w:w="1558"/>
    </w:tblGrid>
    <w:tr w:rsidR="0087750E" w14:paraId="60D1F581" w14:textId="77777777">
      <w:trPr>
        <w:trHeight w:val="157"/>
      </w:trPr>
      <w:tc>
        <w:tcPr>
          <w:tcW w:w="2593" w:type="dxa"/>
          <w:vMerge w:val="restart"/>
          <w:vAlign w:val="center"/>
        </w:tcPr>
        <w:p w14:paraId="6850D7C3" w14:textId="77777777" w:rsidR="0087750E" w:rsidRDefault="00C8278C">
          <w:pPr>
            <w:pBdr>
              <w:top w:val="nil"/>
              <w:left w:val="nil"/>
              <w:bottom w:val="nil"/>
              <w:right w:val="nil"/>
              <w:between w:val="nil"/>
            </w:pBdr>
            <w:tabs>
              <w:tab w:val="right" w:pos="9072"/>
            </w:tabs>
            <w:rPr>
              <w:color w:val="000000"/>
              <w:sz w:val="32"/>
              <w:szCs w:val="32"/>
            </w:rPr>
          </w:pPr>
          <w:r>
            <w:rPr>
              <w:noProof/>
              <w:color w:val="000000"/>
            </w:rPr>
            <w:drawing>
              <wp:inline distT="0" distB="0" distL="0" distR="0" wp14:anchorId="198DF030" wp14:editId="75441EBA">
                <wp:extent cx="1523557" cy="638127"/>
                <wp:effectExtent l="0" t="0" r="0" b="0"/>
                <wp:docPr id="2120927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3557" cy="638127"/>
                        </a:xfrm>
                        <a:prstGeom prst="rect">
                          <a:avLst/>
                        </a:prstGeom>
                        <a:ln/>
                      </pic:spPr>
                    </pic:pic>
                  </a:graphicData>
                </a:graphic>
              </wp:inline>
            </w:drawing>
          </w:r>
        </w:p>
      </w:tc>
      <w:tc>
        <w:tcPr>
          <w:tcW w:w="4789" w:type="dxa"/>
          <w:vMerge w:val="restart"/>
          <w:vAlign w:val="center"/>
        </w:tcPr>
        <w:p w14:paraId="007240CA" w14:textId="77777777" w:rsidR="0087750E" w:rsidRDefault="00C8278C">
          <w:pPr>
            <w:pBdr>
              <w:top w:val="nil"/>
              <w:left w:val="nil"/>
              <w:bottom w:val="nil"/>
              <w:right w:val="nil"/>
              <w:between w:val="nil"/>
            </w:pBdr>
            <w:tabs>
              <w:tab w:val="right" w:pos="9072"/>
            </w:tabs>
            <w:jc w:val="center"/>
            <w:rPr>
              <w:b/>
              <w:color w:val="000000"/>
            </w:rPr>
          </w:pPr>
          <w:r>
            <w:rPr>
              <w:b/>
              <w:color w:val="000000"/>
            </w:rPr>
            <w:t>ANTALYA BELEK ÜNİVERSİTESİ</w:t>
          </w:r>
        </w:p>
        <w:p w14:paraId="4D169588" w14:textId="7A6B964D" w:rsidR="00EB4334" w:rsidRDefault="004D7FD7">
          <w:pPr>
            <w:jc w:val="center"/>
            <w:rPr>
              <w:b/>
            </w:rPr>
          </w:pPr>
          <w:r>
            <w:rPr>
              <w:b/>
            </w:rPr>
            <w:t xml:space="preserve">FİNANS, BANKACILIK VE SİGORTACILIK </w:t>
          </w:r>
          <w:r w:rsidR="00EB4334">
            <w:rPr>
              <w:b/>
            </w:rPr>
            <w:t>BÖLÜMÜ</w:t>
          </w:r>
        </w:p>
        <w:p w14:paraId="4E295A9C" w14:textId="112C5863" w:rsidR="0087750E" w:rsidRDefault="004D7FD7" w:rsidP="00C8278C">
          <w:pPr>
            <w:jc w:val="center"/>
            <w:rPr>
              <w:b/>
              <w:color w:val="000000"/>
            </w:rPr>
          </w:pPr>
          <w:r>
            <w:rPr>
              <w:b/>
            </w:rPr>
            <w:t>BANKACILIK VE SİGORTACILIK</w:t>
          </w:r>
          <w:r w:rsidR="00EB4334">
            <w:rPr>
              <w:b/>
            </w:rPr>
            <w:t xml:space="preserve"> </w:t>
          </w:r>
          <w:r w:rsidR="00EB4334">
            <w:rPr>
              <w:b/>
              <w:color w:val="000000"/>
            </w:rPr>
            <w:t xml:space="preserve">KALİTE </w:t>
          </w:r>
          <w:r w:rsidR="00EB4334">
            <w:rPr>
              <w:b/>
            </w:rPr>
            <w:t>POLİTİKASI</w:t>
          </w:r>
        </w:p>
      </w:tc>
      <w:tc>
        <w:tcPr>
          <w:tcW w:w="1834" w:type="dxa"/>
        </w:tcPr>
        <w:p w14:paraId="2385FF2C" w14:textId="77777777" w:rsidR="0087750E" w:rsidRDefault="00C8278C">
          <w:pPr>
            <w:pBdr>
              <w:top w:val="nil"/>
              <w:left w:val="nil"/>
              <w:bottom w:val="nil"/>
              <w:right w:val="nil"/>
              <w:between w:val="nil"/>
            </w:pBdr>
            <w:tabs>
              <w:tab w:val="right" w:pos="9072"/>
            </w:tabs>
            <w:rPr>
              <w:color w:val="000000"/>
              <w:sz w:val="20"/>
              <w:szCs w:val="20"/>
            </w:rPr>
          </w:pPr>
          <w:r>
            <w:rPr>
              <w:color w:val="000000"/>
              <w:sz w:val="20"/>
              <w:szCs w:val="20"/>
            </w:rPr>
            <w:t>Doküman No:</w:t>
          </w:r>
        </w:p>
      </w:tc>
      <w:tc>
        <w:tcPr>
          <w:tcW w:w="1558" w:type="dxa"/>
        </w:tcPr>
        <w:p w14:paraId="669AEF0F" w14:textId="13FBB89C" w:rsidR="0087750E" w:rsidRDefault="004D7FD7">
          <w:pPr>
            <w:pBdr>
              <w:top w:val="nil"/>
              <w:left w:val="nil"/>
              <w:bottom w:val="nil"/>
              <w:right w:val="nil"/>
              <w:between w:val="nil"/>
            </w:pBdr>
            <w:tabs>
              <w:tab w:val="right" w:pos="9072"/>
            </w:tabs>
            <w:rPr>
              <w:color w:val="000000"/>
              <w:sz w:val="20"/>
              <w:szCs w:val="20"/>
            </w:rPr>
          </w:pPr>
          <w:r>
            <w:rPr>
              <w:color w:val="000000"/>
              <w:sz w:val="20"/>
              <w:szCs w:val="20"/>
            </w:rPr>
            <w:t>FBS.</w:t>
          </w:r>
          <w:r w:rsidR="00C8278C">
            <w:rPr>
              <w:color w:val="000000"/>
              <w:sz w:val="20"/>
              <w:szCs w:val="20"/>
            </w:rPr>
            <w:t>YÖD.</w:t>
          </w:r>
          <w:r>
            <w:rPr>
              <w:color w:val="000000"/>
              <w:sz w:val="20"/>
              <w:szCs w:val="20"/>
            </w:rPr>
            <w:t>00</w:t>
          </w:r>
          <w:r w:rsidR="00C8278C">
            <w:rPr>
              <w:sz w:val="20"/>
              <w:szCs w:val="20"/>
            </w:rPr>
            <w:t>4</w:t>
          </w:r>
        </w:p>
      </w:tc>
    </w:tr>
    <w:tr w:rsidR="0087750E" w14:paraId="56A83301" w14:textId="77777777">
      <w:trPr>
        <w:trHeight w:val="154"/>
      </w:trPr>
      <w:tc>
        <w:tcPr>
          <w:tcW w:w="2593" w:type="dxa"/>
          <w:vMerge/>
          <w:vAlign w:val="center"/>
        </w:tcPr>
        <w:p w14:paraId="71C434A5"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0F249588"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1834" w:type="dxa"/>
        </w:tcPr>
        <w:p w14:paraId="098931FD" w14:textId="77777777" w:rsidR="0087750E" w:rsidRDefault="00C8278C">
          <w:pPr>
            <w:pBdr>
              <w:top w:val="nil"/>
              <w:left w:val="nil"/>
              <w:bottom w:val="nil"/>
              <w:right w:val="nil"/>
              <w:between w:val="nil"/>
            </w:pBdr>
            <w:tabs>
              <w:tab w:val="right" w:pos="9072"/>
            </w:tabs>
            <w:rPr>
              <w:color w:val="000000"/>
              <w:sz w:val="20"/>
              <w:szCs w:val="20"/>
            </w:rPr>
          </w:pPr>
          <w:r>
            <w:rPr>
              <w:color w:val="000000"/>
              <w:sz w:val="20"/>
              <w:szCs w:val="20"/>
            </w:rPr>
            <w:t>İlk Yayın Tarihi:</w:t>
          </w:r>
        </w:p>
      </w:tc>
      <w:tc>
        <w:tcPr>
          <w:tcW w:w="1558" w:type="dxa"/>
        </w:tcPr>
        <w:p w14:paraId="6F4F777F" w14:textId="54DAA10E" w:rsidR="0087750E" w:rsidRDefault="004D7FD7">
          <w:pPr>
            <w:pBdr>
              <w:top w:val="nil"/>
              <w:left w:val="nil"/>
              <w:bottom w:val="nil"/>
              <w:right w:val="nil"/>
              <w:between w:val="nil"/>
            </w:pBdr>
            <w:tabs>
              <w:tab w:val="right" w:pos="9072"/>
            </w:tabs>
            <w:rPr>
              <w:color w:val="000000"/>
              <w:sz w:val="20"/>
              <w:szCs w:val="20"/>
            </w:rPr>
          </w:pPr>
          <w:r>
            <w:rPr>
              <w:color w:val="000000"/>
              <w:sz w:val="20"/>
              <w:szCs w:val="20"/>
            </w:rPr>
            <w:t>1</w:t>
          </w:r>
          <w:r w:rsidR="00C8278C">
            <w:rPr>
              <w:color w:val="000000"/>
              <w:sz w:val="20"/>
              <w:szCs w:val="20"/>
            </w:rPr>
            <w:t>4</w:t>
          </w:r>
          <w:r>
            <w:rPr>
              <w:color w:val="000000"/>
              <w:sz w:val="20"/>
              <w:szCs w:val="20"/>
            </w:rPr>
            <w:t>.0</w:t>
          </w:r>
          <w:r w:rsidR="00C8278C">
            <w:rPr>
              <w:color w:val="000000"/>
              <w:sz w:val="20"/>
              <w:szCs w:val="20"/>
            </w:rPr>
            <w:t>5</w:t>
          </w:r>
          <w:r>
            <w:rPr>
              <w:color w:val="000000"/>
              <w:sz w:val="20"/>
              <w:szCs w:val="20"/>
            </w:rPr>
            <w:t>.2025</w:t>
          </w:r>
        </w:p>
      </w:tc>
    </w:tr>
    <w:tr w:rsidR="0087750E" w14:paraId="64440E50" w14:textId="77777777">
      <w:trPr>
        <w:trHeight w:val="154"/>
      </w:trPr>
      <w:tc>
        <w:tcPr>
          <w:tcW w:w="2593" w:type="dxa"/>
          <w:vMerge/>
          <w:vAlign w:val="center"/>
        </w:tcPr>
        <w:p w14:paraId="0DB98E8C"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229E5AE4"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1834" w:type="dxa"/>
        </w:tcPr>
        <w:p w14:paraId="3011A1FD" w14:textId="77777777" w:rsidR="0087750E" w:rsidRDefault="00C8278C">
          <w:pPr>
            <w:pBdr>
              <w:top w:val="nil"/>
              <w:left w:val="nil"/>
              <w:bottom w:val="nil"/>
              <w:right w:val="nil"/>
              <w:between w:val="nil"/>
            </w:pBdr>
            <w:tabs>
              <w:tab w:val="right" w:pos="9072"/>
            </w:tabs>
            <w:rPr>
              <w:color w:val="000000"/>
              <w:sz w:val="20"/>
              <w:szCs w:val="20"/>
            </w:rPr>
          </w:pPr>
          <w:r>
            <w:rPr>
              <w:color w:val="000000"/>
              <w:sz w:val="20"/>
              <w:szCs w:val="20"/>
            </w:rPr>
            <w:t>Revizyon Tarihi:</w:t>
          </w:r>
        </w:p>
      </w:tc>
      <w:tc>
        <w:tcPr>
          <w:tcW w:w="1558" w:type="dxa"/>
        </w:tcPr>
        <w:p w14:paraId="2F80337D" w14:textId="77777777" w:rsidR="0087750E" w:rsidRDefault="00C8278C">
          <w:pPr>
            <w:pBdr>
              <w:top w:val="nil"/>
              <w:left w:val="nil"/>
              <w:bottom w:val="nil"/>
              <w:right w:val="nil"/>
              <w:between w:val="nil"/>
            </w:pBdr>
            <w:tabs>
              <w:tab w:val="right" w:pos="9072"/>
            </w:tabs>
            <w:rPr>
              <w:color w:val="000000"/>
              <w:sz w:val="20"/>
              <w:szCs w:val="20"/>
            </w:rPr>
          </w:pPr>
          <w:r>
            <w:rPr>
              <w:color w:val="000000"/>
              <w:sz w:val="20"/>
              <w:szCs w:val="20"/>
            </w:rPr>
            <w:t>-</w:t>
          </w:r>
        </w:p>
      </w:tc>
    </w:tr>
    <w:tr w:rsidR="0087750E" w14:paraId="0E5C7FA9" w14:textId="77777777">
      <w:trPr>
        <w:trHeight w:val="154"/>
      </w:trPr>
      <w:tc>
        <w:tcPr>
          <w:tcW w:w="2593" w:type="dxa"/>
          <w:vMerge/>
          <w:vAlign w:val="center"/>
        </w:tcPr>
        <w:p w14:paraId="21E5ECFB"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0CC10B77"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1834" w:type="dxa"/>
        </w:tcPr>
        <w:p w14:paraId="64E18322" w14:textId="77777777" w:rsidR="0087750E" w:rsidRDefault="00C8278C">
          <w:pPr>
            <w:pBdr>
              <w:top w:val="nil"/>
              <w:left w:val="nil"/>
              <w:bottom w:val="nil"/>
              <w:right w:val="nil"/>
              <w:between w:val="nil"/>
            </w:pBdr>
            <w:tabs>
              <w:tab w:val="right" w:pos="9072"/>
            </w:tabs>
            <w:rPr>
              <w:color w:val="000000"/>
              <w:sz w:val="20"/>
              <w:szCs w:val="20"/>
            </w:rPr>
          </w:pPr>
          <w:r>
            <w:rPr>
              <w:color w:val="000000"/>
              <w:sz w:val="20"/>
              <w:szCs w:val="20"/>
            </w:rPr>
            <w:t>Revizyon No:</w:t>
          </w:r>
        </w:p>
      </w:tc>
      <w:tc>
        <w:tcPr>
          <w:tcW w:w="1558" w:type="dxa"/>
        </w:tcPr>
        <w:p w14:paraId="3A70A451" w14:textId="77777777" w:rsidR="0087750E" w:rsidRDefault="00C8278C">
          <w:pPr>
            <w:pBdr>
              <w:top w:val="nil"/>
              <w:left w:val="nil"/>
              <w:bottom w:val="nil"/>
              <w:right w:val="nil"/>
              <w:between w:val="nil"/>
            </w:pBdr>
            <w:tabs>
              <w:tab w:val="right" w:pos="9072"/>
            </w:tabs>
            <w:rPr>
              <w:color w:val="000000"/>
              <w:sz w:val="20"/>
              <w:szCs w:val="20"/>
            </w:rPr>
          </w:pPr>
          <w:r>
            <w:rPr>
              <w:color w:val="000000"/>
              <w:sz w:val="20"/>
              <w:szCs w:val="20"/>
            </w:rPr>
            <w:t>00</w:t>
          </w:r>
        </w:p>
      </w:tc>
    </w:tr>
    <w:tr w:rsidR="0087750E" w14:paraId="2E17D5D1" w14:textId="77777777">
      <w:trPr>
        <w:trHeight w:val="154"/>
      </w:trPr>
      <w:tc>
        <w:tcPr>
          <w:tcW w:w="2593" w:type="dxa"/>
          <w:vMerge/>
          <w:vAlign w:val="center"/>
        </w:tcPr>
        <w:p w14:paraId="0D9A2DC5"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6EDA9AF5"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1834" w:type="dxa"/>
        </w:tcPr>
        <w:p w14:paraId="53779247" w14:textId="77777777" w:rsidR="0087750E" w:rsidRDefault="00C8278C">
          <w:pPr>
            <w:pBdr>
              <w:top w:val="nil"/>
              <w:left w:val="nil"/>
              <w:bottom w:val="nil"/>
              <w:right w:val="nil"/>
              <w:between w:val="nil"/>
            </w:pBdr>
            <w:tabs>
              <w:tab w:val="right" w:pos="9072"/>
            </w:tabs>
            <w:rPr>
              <w:color w:val="000000"/>
              <w:sz w:val="20"/>
              <w:szCs w:val="20"/>
            </w:rPr>
          </w:pPr>
          <w:r>
            <w:rPr>
              <w:color w:val="000000"/>
              <w:sz w:val="20"/>
              <w:szCs w:val="20"/>
            </w:rPr>
            <w:t>Sayfa No:</w:t>
          </w:r>
        </w:p>
      </w:tc>
      <w:tc>
        <w:tcPr>
          <w:tcW w:w="1558" w:type="dxa"/>
        </w:tcPr>
        <w:p w14:paraId="2D338F93" w14:textId="77777777" w:rsidR="0087750E" w:rsidRDefault="00C8278C">
          <w:pPr>
            <w:pBdr>
              <w:top w:val="nil"/>
              <w:left w:val="nil"/>
              <w:bottom w:val="nil"/>
              <w:right w:val="nil"/>
              <w:between w:val="nil"/>
            </w:pBdr>
            <w:tabs>
              <w:tab w:val="right" w:pos="9072"/>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976C6">
            <w:rPr>
              <w:noProof/>
              <w:color w:val="000000"/>
              <w:sz w:val="20"/>
              <w:szCs w:val="20"/>
            </w:rPr>
            <w:t>1</w:t>
          </w:r>
          <w:r>
            <w:rPr>
              <w:color w:val="000000"/>
              <w:sz w:val="20"/>
              <w:szCs w:val="20"/>
            </w:rPr>
            <w:fldChar w:fldCharType="end"/>
          </w:r>
          <w:r>
            <w:rPr>
              <w:color w:val="000000"/>
              <w:sz w:val="20"/>
              <w:szCs w:val="20"/>
            </w:rPr>
            <w:t>/1</w:t>
          </w:r>
        </w:p>
      </w:tc>
    </w:tr>
  </w:tbl>
  <w:p w14:paraId="63727D7A" w14:textId="77777777" w:rsidR="0087750E" w:rsidRDefault="0087750E" w:rsidP="00C8278C">
    <w:pPr>
      <w:pBdr>
        <w:top w:val="nil"/>
        <w:left w:val="nil"/>
        <w:bottom w:val="nil"/>
        <w:right w:val="nil"/>
        <w:between w:val="nil"/>
      </w:pBdr>
      <w:tabs>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9E8"/>
    <w:multiLevelType w:val="hybridMultilevel"/>
    <w:tmpl w:val="83A4A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8635F38"/>
    <w:multiLevelType w:val="multilevel"/>
    <w:tmpl w:val="80B40C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A09375C"/>
    <w:multiLevelType w:val="hybridMultilevel"/>
    <w:tmpl w:val="2D4AF0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69972930">
    <w:abstractNumId w:val="1"/>
  </w:num>
  <w:num w:numId="2" w16cid:durableId="1679649899">
    <w:abstractNumId w:val="0"/>
  </w:num>
  <w:num w:numId="3" w16cid:durableId="107168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50E"/>
    <w:rsid w:val="001976C6"/>
    <w:rsid w:val="004D7FD7"/>
    <w:rsid w:val="00665EF8"/>
    <w:rsid w:val="0087750E"/>
    <w:rsid w:val="00B23597"/>
    <w:rsid w:val="00C8278C"/>
    <w:rsid w:val="00D825CC"/>
    <w:rsid w:val="00EB4334"/>
    <w:rsid w:val="00F026B8"/>
    <w:rsid w:val="00F856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EA5A"/>
  <w15:docId w15:val="{25334ADF-7CD2-8248-87AB-80D8C1DD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tabs>
          <w:tab w:val="center" w:pos="4536"/>
        </w:tabs>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semiHidden/>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semiHidden/>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hAnsi="Helvetica"/>
      <w:color w:val="01154D"/>
      <w:sz w:val="17"/>
      <w:szCs w:val="17"/>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1">
    <w:name w:val="toc 1"/>
    <w:basedOn w:val="Normal"/>
    <w:next w:val="Normal"/>
    <w:autoRedefine/>
    <w:uiPriority w:val="39"/>
    <w:unhideWhenUsed/>
    <w:rsid w:val="00BD3489"/>
    <w:pPr>
      <w:tabs>
        <w:tab w:val="clear" w:pos="4536"/>
      </w:tabs>
      <w:spacing w:after="100"/>
    </w:pPr>
  </w:style>
  <w:style w:type="paragraph" w:styleId="AralkYok">
    <w:name w:val="No Spacing"/>
    <w:uiPriority w:val="1"/>
    <w:qFormat/>
    <w:rsid w:val="00370CA8"/>
    <w:pPr>
      <w:widowControl w:val="0"/>
      <w:autoSpaceDE w:val="0"/>
      <w:autoSpaceDN w:val="0"/>
      <w:spacing w:after="0"/>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08" w:type="dxa"/>
        <w:right w:w="108" w:type="dxa"/>
      </w:tblCellMar>
    </w:tblPr>
  </w:style>
  <w:style w:type="table" w:customStyle="1" w:styleId="a0">
    <w:basedOn w:val="TableNormal"/>
    <w:pPr>
      <w:spacing w:after="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396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oX+1p7guPe1y0uc68wDkm60nQ==">CgMxLjA4AHIhMVNCUms1X3RCTXNXYm93djdMNkhTNFRiTlo3RUp3Njhy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1065</Words>
  <Characters>6073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3</cp:revision>
  <dcterms:created xsi:type="dcterms:W3CDTF">2025-06-11T06:30:00Z</dcterms:created>
  <dcterms:modified xsi:type="dcterms:W3CDTF">2025-08-05T07:58:00Z</dcterms:modified>
</cp:coreProperties>
</file>