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112390" w:rsidRDefault="00112390" w:rsidP="005C6282">
      <w:pPr>
        <w:pStyle w:val="ListeParagraf"/>
        <w:widowControl w:val="0"/>
        <w:numPr>
          <w:ilvl w:val="0"/>
          <w:numId w:val="2"/>
        </w:numPr>
        <w:tabs>
          <w:tab w:val="clear" w:pos="4536"/>
          <w:tab w:val="left" w:pos="421"/>
        </w:tabs>
        <w:autoSpaceDE w:val="0"/>
        <w:autoSpaceDN w:val="0"/>
        <w:spacing w:after="0"/>
        <w:ind w:left="421" w:hanging="281"/>
        <w:contextualSpacing w:val="0"/>
        <w:rPr>
          <w:b/>
          <w:color w:val="C0504D" w:themeColor="accent2"/>
        </w:rPr>
      </w:pPr>
      <w:r w:rsidRPr="00112390">
        <w:rPr>
          <w:b/>
          <w:color w:val="C0504D" w:themeColor="accent2"/>
          <w:spacing w:val="-4"/>
        </w:rPr>
        <w:t>AMAÇ</w:t>
      </w:r>
    </w:p>
    <w:p w14:paraId="2CB4B1AA" w14:textId="77777777" w:rsidR="00112390" w:rsidRPr="00112390" w:rsidRDefault="00112390" w:rsidP="00112390">
      <w:pPr>
        <w:pStyle w:val="GvdeMetni"/>
        <w:jc w:val="both"/>
        <w:rPr>
          <w:rFonts w:ascii="Times New Roman" w:hAnsi="Times New Roman" w:cs="Times New Roman"/>
          <w:b/>
          <w:sz w:val="24"/>
          <w:szCs w:val="24"/>
        </w:rPr>
      </w:pPr>
    </w:p>
    <w:p w14:paraId="4525DAA8" w14:textId="3016B026" w:rsidR="00A978E4" w:rsidRDefault="00EA7154" w:rsidP="00EA7154">
      <w:pPr>
        <w:pStyle w:val="GvdeMetni"/>
        <w:spacing w:line="360" w:lineRule="auto"/>
        <w:ind w:left="140" w:right="-142"/>
        <w:jc w:val="both"/>
        <w:rPr>
          <w:rFonts w:ascii="Times New Roman" w:hAnsi="Times New Roman" w:cs="Times New Roman"/>
          <w:spacing w:val="-11"/>
          <w:sz w:val="24"/>
          <w:szCs w:val="24"/>
        </w:rPr>
      </w:pPr>
      <w:r w:rsidRPr="00EA7154">
        <w:rPr>
          <w:rFonts w:ascii="Times New Roman" w:hAnsi="Times New Roman" w:cs="Times New Roman"/>
          <w:sz w:val="24"/>
          <w:szCs w:val="24"/>
        </w:rPr>
        <w:t>Bu prosedürün amacı, Antalya Belek Üniversitesi Yönetim Bilişim Sistemleri Bölümü'ne kayıt hakkı kazanan öğrencilerin kayıt işlemlerinin mevzuata, akademik takvime ve üniversite iç yönergelerine uygun olarak yürütülmesini sağlamak; kayıt sürecine ilişkin görev, sorumluluk ve işlemleri standartlaştırmaktır.</w:t>
      </w:r>
    </w:p>
    <w:p w14:paraId="34C063DB" w14:textId="4C2A12AC" w:rsidR="00112390" w:rsidRDefault="00112390" w:rsidP="005C6282">
      <w:pPr>
        <w:pStyle w:val="Balk1"/>
        <w:numPr>
          <w:ilvl w:val="0"/>
          <w:numId w:val="2"/>
        </w:numPr>
        <w:tabs>
          <w:tab w:val="left" w:pos="421"/>
        </w:tabs>
        <w:spacing w:before="258"/>
        <w:ind w:left="421" w:hanging="281"/>
        <w:rPr>
          <w:color w:val="C0504D" w:themeColor="accent2"/>
          <w:spacing w:val="-2"/>
        </w:rPr>
      </w:pPr>
      <w:r w:rsidRPr="00112390">
        <w:rPr>
          <w:color w:val="C0504D" w:themeColor="accent2"/>
          <w:spacing w:val="-2"/>
        </w:rPr>
        <w:t>KAPSAM</w:t>
      </w:r>
    </w:p>
    <w:p w14:paraId="0FB63D35" w14:textId="663A087D" w:rsidR="00112390" w:rsidRPr="00EA7154" w:rsidRDefault="00EA7154" w:rsidP="00EA7154">
      <w:pPr>
        <w:pStyle w:val="GvdeMetni"/>
        <w:spacing w:before="1" w:line="360" w:lineRule="auto"/>
        <w:ind w:left="170"/>
        <w:jc w:val="both"/>
        <w:rPr>
          <w:rFonts w:ascii="Times New Roman" w:eastAsiaTheme="minorHAnsi" w:hAnsi="Times New Roman" w:cs="Times New Roman"/>
          <w:sz w:val="24"/>
          <w:szCs w:val="24"/>
        </w:rPr>
      </w:pPr>
      <w:r w:rsidRPr="00EA7154">
        <w:rPr>
          <w:rFonts w:ascii="Times New Roman" w:eastAsiaTheme="minorHAnsi" w:hAnsi="Times New Roman" w:cs="Times New Roman"/>
          <w:sz w:val="24"/>
          <w:szCs w:val="24"/>
        </w:rPr>
        <w:t>Bu prosedür, Antalya Belek Üniversitesi Yönetim Bilişim Sistemleri Bölümü’ne ÖSYM yerleştirmesi, yatay geçiş, dikey geçiş, özel öğrenci, uluslararası öğrenci veya diğer usullerle kayıt hakkı kazanan tüm öğrencilerin ilk kayıt ve yeniden kayıt (kayıt yenileme) işlemlerini kapsar. Ayrıca ilgili akademik ve idari birimlerin sorumluluklarını da içerir.</w:t>
      </w:r>
    </w:p>
    <w:p w14:paraId="3A007204" w14:textId="77777777" w:rsidR="00EA7154" w:rsidRPr="00112390" w:rsidRDefault="00EA7154" w:rsidP="00112390">
      <w:pPr>
        <w:pStyle w:val="GvdeMetni"/>
        <w:spacing w:before="1"/>
        <w:jc w:val="both"/>
        <w:rPr>
          <w:rFonts w:ascii="Times New Roman" w:hAnsi="Times New Roman" w:cs="Times New Roman"/>
          <w:sz w:val="24"/>
          <w:szCs w:val="24"/>
        </w:rPr>
      </w:pPr>
    </w:p>
    <w:p w14:paraId="10537C08" w14:textId="77777777" w:rsidR="00EA7154" w:rsidRDefault="00112390" w:rsidP="005C6282">
      <w:pPr>
        <w:pStyle w:val="Balk1"/>
        <w:numPr>
          <w:ilvl w:val="0"/>
          <w:numId w:val="2"/>
        </w:numPr>
        <w:tabs>
          <w:tab w:val="left" w:pos="421"/>
        </w:tabs>
        <w:ind w:left="421" w:hanging="281"/>
        <w:rPr>
          <w:color w:val="C0504D" w:themeColor="accent2"/>
          <w:spacing w:val="-2"/>
        </w:rPr>
      </w:pPr>
      <w:r w:rsidRPr="00112390">
        <w:rPr>
          <w:color w:val="C0504D" w:themeColor="accent2"/>
          <w:spacing w:val="-2"/>
        </w:rPr>
        <w:t>SORUMLULUKLAR</w:t>
      </w:r>
    </w:p>
    <w:p w14:paraId="037EE63F" w14:textId="554A5B7C" w:rsidR="00EA7154" w:rsidRPr="00EA7154" w:rsidRDefault="00EA7154" w:rsidP="00EA7154">
      <w:pPr>
        <w:pStyle w:val="Balk1"/>
        <w:tabs>
          <w:tab w:val="left" w:pos="421"/>
        </w:tabs>
        <w:spacing w:line="360" w:lineRule="auto"/>
        <w:ind w:left="140"/>
        <w:rPr>
          <w:b w:val="0"/>
          <w:bCs w:val="0"/>
          <w:color w:val="C0504D" w:themeColor="accent2"/>
          <w:spacing w:val="-2"/>
        </w:rPr>
      </w:pPr>
      <w:r w:rsidRPr="00EA7154">
        <w:rPr>
          <w:rFonts w:eastAsia="Times New Roman"/>
          <w:b w:val="0"/>
          <w:bCs w:val="0"/>
          <w:lang w:eastAsia="tr-TR"/>
        </w:rPr>
        <w:t xml:space="preserve">Öğrenci İşleri Daire Başkanlığı; </w:t>
      </w:r>
      <w:r>
        <w:rPr>
          <w:rFonts w:eastAsia="Times New Roman"/>
          <w:b w:val="0"/>
          <w:bCs w:val="0"/>
          <w:lang w:eastAsia="tr-TR"/>
        </w:rPr>
        <w:t>ü</w:t>
      </w:r>
      <w:r w:rsidRPr="00EA7154">
        <w:rPr>
          <w:rFonts w:eastAsia="Times New Roman"/>
          <w:b w:val="0"/>
          <w:bCs w:val="0"/>
          <w:lang w:eastAsia="tr-TR"/>
        </w:rPr>
        <w:t>niversiteye yeni kayıt hakkı kazanan öğrencilerin kayıt işlemlerinin duyurulması, takibinin yapılması ve gerekli belgelerin kontrol edilmesinden sorumludur. Öğrenci bilgi sistemine (OBS) kayıtların zamanında ve doğru şekilde işlenmesini sağlar.</w:t>
      </w:r>
      <w:r>
        <w:rPr>
          <w:rFonts w:eastAsia="Times New Roman"/>
          <w:b w:val="0"/>
          <w:bCs w:val="0"/>
          <w:lang w:eastAsia="tr-TR"/>
        </w:rPr>
        <w:t xml:space="preserve"> </w:t>
      </w:r>
      <w:r w:rsidRPr="00EA7154">
        <w:rPr>
          <w:rFonts w:eastAsia="Times New Roman"/>
          <w:b w:val="0"/>
          <w:bCs w:val="0"/>
          <w:lang w:eastAsia="tr-TR"/>
        </w:rPr>
        <w:t xml:space="preserve">Yönetim Bilişim Sistemleri Bölüm Başkanlığı; yeni kayıt yaptıran öğrencilerin danışman atamalarını yapar ve öğrencilerin akademik programlara uyum sürecini takip eder. Kayıt sonrası ders seçimi ve intibak süreçlerinde danışmanlarla koordineli çalışır. Akademik </w:t>
      </w:r>
      <w:r>
        <w:rPr>
          <w:rFonts w:eastAsia="Times New Roman"/>
          <w:b w:val="0"/>
          <w:bCs w:val="0"/>
          <w:lang w:eastAsia="tr-TR"/>
        </w:rPr>
        <w:t>d</w:t>
      </w:r>
      <w:r w:rsidRPr="00EA7154">
        <w:rPr>
          <w:rFonts w:eastAsia="Times New Roman"/>
          <w:b w:val="0"/>
          <w:bCs w:val="0"/>
          <w:lang w:eastAsia="tr-TR"/>
        </w:rPr>
        <w:t xml:space="preserve">anışmanlar; </w:t>
      </w:r>
      <w:r>
        <w:rPr>
          <w:rFonts w:eastAsia="Times New Roman"/>
          <w:b w:val="0"/>
          <w:bCs w:val="0"/>
          <w:lang w:eastAsia="tr-TR"/>
        </w:rPr>
        <w:t>k</w:t>
      </w:r>
      <w:r w:rsidRPr="00EA7154">
        <w:rPr>
          <w:rFonts w:eastAsia="Times New Roman"/>
          <w:b w:val="0"/>
          <w:bCs w:val="0"/>
          <w:lang w:eastAsia="tr-TR"/>
        </w:rPr>
        <w:t>ayıt olan öğrencilerin ders seçimi, kayıt yenileme ve akademik planlama süreçlerinde rehberlik sağlar. Öğrencinin eğitim sürecine ilişkin gerekli yönlendirmeleri yapar.</w:t>
      </w:r>
      <w:r>
        <w:rPr>
          <w:rFonts w:eastAsia="Times New Roman"/>
          <w:b w:val="0"/>
          <w:bCs w:val="0"/>
          <w:lang w:eastAsia="tr-TR"/>
        </w:rPr>
        <w:t xml:space="preserve"> </w:t>
      </w:r>
      <w:r w:rsidRPr="00EA7154">
        <w:rPr>
          <w:rFonts w:eastAsia="Times New Roman"/>
          <w:b w:val="0"/>
          <w:bCs w:val="0"/>
          <w:lang w:eastAsia="tr-TR"/>
        </w:rPr>
        <w:t>Fakülte Sekreterliği</w:t>
      </w:r>
      <w:r>
        <w:rPr>
          <w:rFonts w:eastAsia="Times New Roman"/>
          <w:b w:val="0"/>
          <w:bCs w:val="0"/>
          <w:lang w:eastAsia="tr-TR"/>
        </w:rPr>
        <w:t>; k</w:t>
      </w:r>
      <w:r w:rsidRPr="00EA7154">
        <w:rPr>
          <w:rFonts w:eastAsia="Times New Roman"/>
          <w:b w:val="0"/>
          <w:bCs w:val="0"/>
          <w:lang w:eastAsia="tr-TR"/>
        </w:rPr>
        <w:t>ayıt işlemleriyle ilgili evrak akışını sağlar, gerekli belgeleri resmi yazışmalarla ilgili birimlere iletir.</w:t>
      </w:r>
      <w:r>
        <w:rPr>
          <w:rFonts w:eastAsia="Times New Roman"/>
          <w:b w:val="0"/>
          <w:bCs w:val="0"/>
          <w:lang w:eastAsia="tr-TR"/>
        </w:rPr>
        <w:t xml:space="preserve"> </w:t>
      </w:r>
      <w:r w:rsidRPr="00EA7154">
        <w:rPr>
          <w:rFonts w:eastAsia="Times New Roman"/>
          <w:b w:val="0"/>
          <w:bCs w:val="0"/>
          <w:lang w:eastAsia="tr-TR"/>
        </w:rPr>
        <w:t>Bölüm ile öğrenci işleri arasında bilgi koordinasyonunu yürütür.</w:t>
      </w:r>
      <w:r>
        <w:rPr>
          <w:rFonts w:eastAsia="Times New Roman"/>
          <w:b w:val="0"/>
          <w:bCs w:val="0"/>
          <w:lang w:eastAsia="tr-TR"/>
        </w:rPr>
        <w:t xml:space="preserve"> </w:t>
      </w:r>
      <w:r w:rsidRPr="00EA7154">
        <w:rPr>
          <w:rFonts w:eastAsia="Times New Roman"/>
          <w:b w:val="0"/>
          <w:bCs w:val="0"/>
          <w:lang w:eastAsia="tr-TR"/>
        </w:rPr>
        <w:t>Öğrenciler; kayıt için gerekli belgeleri süresi içinde eksiksiz teslim etmek, kayıt yenileme ve ders seçimi işlemlerini akademik takvime uygun olarak gerçekleştirmekle sorumludur.</w:t>
      </w:r>
    </w:p>
    <w:p w14:paraId="2A690134" w14:textId="3990B847" w:rsidR="0032341F" w:rsidRPr="0032341F" w:rsidRDefault="00BB21C0" w:rsidP="00BB21C0">
      <w:pPr>
        <w:pStyle w:val="Balk1"/>
        <w:tabs>
          <w:tab w:val="left" w:pos="421"/>
        </w:tabs>
        <w:rPr>
          <w:rFonts w:eastAsia="Times New Roman"/>
          <w:b w:val="0"/>
          <w:bCs w:val="0"/>
          <w:sz w:val="27"/>
          <w:szCs w:val="27"/>
          <w:lang w:eastAsia="tr-TR"/>
        </w:rPr>
      </w:pPr>
      <w:r>
        <w:rPr>
          <w:rFonts w:eastAsia="Times New Roman"/>
          <w:sz w:val="27"/>
          <w:szCs w:val="27"/>
          <w:lang w:eastAsia="tr-TR"/>
        </w:rPr>
        <w:t xml:space="preserve">  </w:t>
      </w:r>
      <w:r w:rsidR="0032341F" w:rsidRPr="00BB21C0">
        <w:rPr>
          <w:color w:val="C0504D" w:themeColor="accent2"/>
          <w:spacing w:val="-2"/>
        </w:rPr>
        <w:t>4. UYGULAMA</w:t>
      </w:r>
    </w:p>
    <w:p w14:paraId="195FE2B6" w14:textId="573757DC" w:rsidR="0032341F" w:rsidRPr="00BB21C0" w:rsidRDefault="0032341F" w:rsidP="0032341F">
      <w:pPr>
        <w:tabs>
          <w:tab w:val="clear" w:pos="4536"/>
        </w:tabs>
        <w:spacing w:before="100" w:beforeAutospacing="1" w:after="100" w:afterAutospacing="1"/>
        <w:outlineLvl w:val="3"/>
        <w:rPr>
          <w:b/>
          <w:bCs/>
          <w:color w:val="C0504D" w:themeColor="accent2"/>
          <w:spacing w:val="-2"/>
        </w:rPr>
      </w:pPr>
      <w:r w:rsidRPr="00BB21C0">
        <w:rPr>
          <w:b/>
          <w:bCs/>
          <w:color w:val="C0504D" w:themeColor="accent2"/>
          <w:spacing w:val="-2"/>
        </w:rPr>
        <w:t xml:space="preserve">    4.1. Planlı Eğitimlerin Uygulanması</w:t>
      </w:r>
    </w:p>
    <w:p w14:paraId="0E892A26" w14:textId="3FD5CC17" w:rsidR="0032341F" w:rsidRPr="00BB21C0" w:rsidRDefault="0032341F" w:rsidP="00BB21C0">
      <w:pPr>
        <w:tabs>
          <w:tab w:val="clear" w:pos="4536"/>
        </w:tabs>
        <w:spacing w:before="100" w:beforeAutospacing="1" w:after="100" w:afterAutospacing="1"/>
        <w:outlineLvl w:val="3"/>
        <w:rPr>
          <w:b/>
          <w:bCs/>
          <w:color w:val="C0504D" w:themeColor="accent2"/>
          <w:spacing w:val="-2"/>
        </w:rPr>
      </w:pPr>
      <w:r w:rsidRPr="00BB21C0">
        <w:rPr>
          <w:b/>
          <w:bCs/>
          <w:color w:val="C0504D" w:themeColor="accent2"/>
          <w:spacing w:val="-2"/>
        </w:rPr>
        <w:t xml:space="preserve">     4.1.1. Görevde Yükselme ve Unvan Değişikliği Eğitimi</w:t>
      </w:r>
    </w:p>
    <w:p w14:paraId="62BF1456" w14:textId="49D1C573"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lastRenderedPageBreak/>
        <w:t>Görevde yükselme ve unvan değişikliği eğitimi, kurumun belirlediği periyotlarda düzenlenir.</w:t>
      </w:r>
    </w:p>
    <w:p w14:paraId="577C0AAC" w14:textId="57850746"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içerikleri, ilgili mevzuat, yönetmelik ve kurum ihtiyaçları doğrultusunda güncellenir.</w:t>
      </w:r>
    </w:p>
    <w:p w14:paraId="4CB243BF" w14:textId="7E57D460"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Eğitime katılacak personelin belirlenmesi, ilgili birim amirleri ve insan kaynakları birimi tarafından yapılır.</w:t>
      </w:r>
    </w:p>
    <w:p w14:paraId="6DDDD95D" w14:textId="612D10A9"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programları, teorik ve uygulamalı oturumları kapsayacak şekilde planlanır.</w:t>
      </w:r>
    </w:p>
    <w:p w14:paraId="72E8C2F6" w14:textId="01352472"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sonunda katılımcıların bilgi ve yeterlilikleri ölçülür; başarılı olanlar ilgili unvan değişikliği ve görevde yükselme süreçlerine yönlendirilir.</w:t>
      </w:r>
    </w:p>
    <w:p w14:paraId="668C5312" w14:textId="680E016B"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kayıtları, katılım listeleri ve değerlendirme sonuçları İnsan Kaynakları biriminde saklanır.</w:t>
      </w:r>
    </w:p>
    <w:p w14:paraId="305BD58C" w14:textId="66D48616" w:rsidR="00781F09" w:rsidRPr="00781F09" w:rsidRDefault="00781F09" w:rsidP="005C6282">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Eğitimlerle ilgili geri bildirimler toplanarak sürekli iyileştirme sağlanır.</w:t>
      </w:r>
    </w:p>
    <w:p w14:paraId="12F52C4F" w14:textId="7D44CC46" w:rsidR="0032341F" w:rsidRPr="00BB21C0" w:rsidRDefault="0032341F" w:rsidP="0032341F">
      <w:pPr>
        <w:tabs>
          <w:tab w:val="clear" w:pos="4536"/>
        </w:tabs>
        <w:spacing w:before="100" w:beforeAutospacing="1" w:after="100" w:afterAutospacing="1"/>
        <w:jc w:val="left"/>
        <w:outlineLvl w:val="2"/>
        <w:rPr>
          <w:b/>
          <w:bCs/>
          <w:color w:val="C0504D" w:themeColor="accent2"/>
          <w:spacing w:val="-2"/>
        </w:rPr>
      </w:pPr>
      <w:r w:rsidRPr="00BB21C0">
        <w:rPr>
          <w:b/>
          <w:bCs/>
          <w:color w:val="C0504D" w:themeColor="accent2"/>
          <w:spacing w:val="-2"/>
        </w:rPr>
        <w:t xml:space="preserve">      5. İLGİLİ DOKÜMANLAR</w:t>
      </w:r>
    </w:p>
    <w:p w14:paraId="70E5A963" w14:textId="03D76291"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2547 Sayılı Yükseköğretim Kanunu</w:t>
      </w:r>
    </w:p>
    <w:p w14:paraId="35A03A6B" w14:textId="532947D3"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657 Sayılı Devlet Memurları Kanunu</w:t>
      </w:r>
    </w:p>
    <w:p w14:paraId="5EEDF3A9" w14:textId="575ABE8F"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Görevde Yükselme ve Unvan Değişikliği Yönetmeliği</w:t>
      </w:r>
    </w:p>
    <w:p w14:paraId="69A97D99" w14:textId="76ACED99"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Kurum İç Yönergeleri ve Talimatları</w:t>
      </w:r>
    </w:p>
    <w:p w14:paraId="2644434E" w14:textId="497C6485"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İnsan Kaynakları Eğitim Planı ve Programları</w:t>
      </w:r>
    </w:p>
    <w:p w14:paraId="23D6D051" w14:textId="1251FFBF"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Eğitim Katılım ve Değerlendirme Formları</w:t>
      </w:r>
    </w:p>
    <w:p w14:paraId="03028A1F" w14:textId="5CF95186"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Akademik Personel Kariyer Planlama Rehberi</w:t>
      </w:r>
    </w:p>
    <w:p w14:paraId="137980CF" w14:textId="14AC5438" w:rsidR="00781F09" w:rsidRPr="00781F09" w:rsidRDefault="00781F09" w:rsidP="005C6282">
      <w:pPr>
        <w:pStyle w:val="ListeParagraf"/>
        <w:numPr>
          <w:ilvl w:val="0"/>
          <w:numId w:val="3"/>
        </w:numPr>
        <w:spacing w:line="360" w:lineRule="auto"/>
        <w:rPr>
          <w:rFonts w:eastAsia="Times New Roman"/>
          <w:lang w:eastAsia="tr-TR"/>
        </w:rPr>
      </w:pPr>
      <w:r w:rsidRPr="00781F09">
        <w:rPr>
          <w:rFonts w:eastAsia="Times New Roman"/>
          <w:lang w:eastAsia="tr-TR"/>
        </w:rPr>
        <w:t>Kurum Kalite Yönetim Sistemi Dokümanları</w:t>
      </w:r>
    </w:p>
    <w:p w14:paraId="1FAA7E9B" w14:textId="77777777" w:rsidR="0032341F" w:rsidRPr="004B772A" w:rsidRDefault="0032341F" w:rsidP="004B772A">
      <w:pPr>
        <w:ind w:left="170"/>
        <w:rPr>
          <w:b/>
          <w:bCs/>
        </w:rPr>
      </w:pPr>
    </w:p>
    <w:p w14:paraId="235D5255" w14:textId="77777777" w:rsidR="00A41EC4" w:rsidRPr="00A41EC4" w:rsidRDefault="00A41EC4" w:rsidP="00A41EC4"/>
    <w:sectPr w:rsidR="00A41EC4" w:rsidRPr="00A41EC4"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0FB6" w14:textId="77777777" w:rsidR="000C5832" w:rsidRDefault="000C5832" w:rsidP="003A6F6D">
      <w:r>
        <w:separator/>
      </w:r>
    </w:p>
  </w:endnote>
  <w:endnote w:type="continuationSeparator" w:id="0">
    <w:p w14:paraId="63348F92" w14:textId="77777777" w:rsidR="000C5832" w:rsidRDefault="000C583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41449B3" w:rsidR="00FA108B" w:rsidRPr="00FA108B" w:rsidRDefault="005C6282" w:rsidP="003A6F6D">
          <w:pPr>
            <w:pStyle w:val="AltBilgi"/>
            <w:jc w:val="center"/>
          </w:pPr>
          <w:r w:rsidRPr="003010CF">
            <w:t>Yönetim Bilişim Sistemleri Bölüm Başkanlığı</w:t>
          </w:r>
        </w:p>
      </w:tc>
      <w:tc>
        <w:tcPr>
          <w:tcW w:w="3717" w:type="dxa"/>
          <w:vAlign w:val="center"/>
        </w:tcPr>
        <w:p w14:paraId="1146F847" w14:textId="647E2C83" w:rsidR="00FA108B" w:rsidRPr="00514ECE" w:rsidRDefault="005C6282" w:rsidP="003A6F6D">
          <w:pPr>
            <w:pStyle w:val="AltBilgi"/>
            <w:jc w:val="center"/>
          </w:pPr>
          <w:r w:rsidRPr="003010CF">
            <w:t>Kalite Koordinatör</w:t>
          </w:r>
          <w:r>
            <w:t>lüğü</w:t>
          </w:r>
        </w:p>
      </w:tc>
      <w:tc>
        <w:tcPr>
          <w:tcW w:w="3371" w:type="dxa"/>
          <w:vAlign w:val="center"/>
        </w:tcPr>
        <w:p w14:paraId="6AAF7A5B" w14:textId="237EEBE6" w:rsidR="00FA108B" w:rsidRPr="00514ECE" w:rsidRDefault="005C6282"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BBE6" w14:textId="77777777" w:rsidR="000C5832" w:rsidRDefault="000C5832" w:rsidP="003A6F6D">
      <w:r>
        <w:separator/>
      </w:r>
    </w:p>
  </w:footnote>
  <w:footnote w:type="continuationSeparator" w:id="0">
    <w:p w14:paraId="1C90EDE6" w14:textId="77777777" w:rsidR="000C5832" w:rsidRDefault="000C583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5"/>
      <w:gridCol w:w="1557"/>
    </w:tblGrid>
    <w:tr w:rsidR="00384F51" w:rsidRPr="005C6282" w14:paraId="21CCCFE0" w14:textId="77777777" w:rsidTr="00E7328C">
      <w:trPr>
        <w:trHeight w:val="157"/>
      </w:trPr>
      <w:tc>
        <w:tcPr>
          <w:tcW w:w="2552" w:type="dxa"/>
          <w:vMerge w:val="restart"/>
          <w:vAlign w:val="center"/>
        </w:tcPr>
        <w:p w14:paraId="0E7C3968" w14:textId="242BDC7E" w:rsidR="00384F51" w:rsidRPr="005C6282" w:rsidRDefault="00384F51" w:rsidP="003A6F6D">
          <w:pPr>
            <w:pStyle w:val="stBilgi"/>
            <w:rPr>
              <w:sz w:val="20"/>
              <w:szCs w:val="20"/>
            </w:rPr>
          </w:pPr>
          <w:r w:rsidRPr="005C6282">
            <w:rPr>
              <w:noProof/>
              <w:sz w:val="20"/>
              <w:szCs w:val="20"/>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5C6282" w:rsidRDefault="0050672E" w:rsidP="003A6F6D">
          <w:pPr>
            <w:pStyle w:val="stBilgi"/>
            <w:jc w:val="center"/>
            <w:rPr>
              <w:b/>
              <w:bCs/>
              <w:sz w:val="20"/>
              <w:szCs w:val="20"/>
            </w:rPr>
          </w:pPr>
          <w:r w:rsidRPr="005C6282">
            <w:rPr>
              <w:b/>
              <w:bCs/>
              <w:sz w:val="20"/>
              <w:szCs w:val="20"/>
            </w:rPr>
            <w:t>ANTALYA BELEK ÜNİVERSİTESİ</w:t>
          </w:r>
        </w:p>
        <w:p w14:paraId="7930B83B" w14:textId="140935F5" w:rsidR="003C05FA" w:rsidRPr="005C6282" w:rsidRDefault="003C05FA" w:rsidP="003A6F6D">
          <w:pPr>
            <w:pStyle w:val="stBilgi"/>
            <w:jc w:val="center"/>
            <w:rPr>
              <w:b/>
              <w:bCs/>
              <w:sz w:val="20"/>
              <w:szCs w:val="20"/>
            </w:rPr>
          </w:pPr>
          <w:r w:rsidRPr="005C6282">
            <w:rPr>
              <w:b/>
              <w:bCs/>
              <w:sz w:val="20"/>
              <w:szCs w:val="20"/>
            </w:rPr>
            <w:t>İKTİSADİ VE İDARİ BİLİMLER FAKÜLTESİ</w:t>
          </w:r>
        </w:p>
        <w:p w14:paraId="2572406A" w14:textId="77777777" w:rsidR="003167ED" w:rsidRPr="005C6282" w:rsidRDefault="00EA7154" w:rsidP="00A978E4">
          <w:pPr>
            <w:pStyle w:val="stBilgi"/>
            <w:jc w:val="center"/>
            <w:rPr>
              <w:b/>
              <w:bCs/>
              <w:sz w:val="20"/>
              <w:szCs w:val="20"/>
              <w:lang w:val="en-US"/>
            </w:rPr>
          </w:pPr>
          <w:r w:rsidRPr="005C6282">
            <w:rPr>
              <w:b/>
              <w:bCs/>
              <w:sz w:val="20"/>
              <w:szCs w:val="20"/>
              <w:lang w:val="en-US"/>
            </w:rPr>
            <w:t>YÖNETİM BİLİŞİM SİSTEMLERİ</w:t>
          </w:r>
          <w:r w:rsidR="0079029A" w:rsidRPr="005C6282">
            <w:rPr>
              <w:b/>
              <w:bCs/>
              <w:sz w:val="20"/>
              <w:szCs w:val="20"/>
              <w:lang w:val="en-US"/>
            </w:rPr>
            <w:t xml:space="preserve"> </w:t>
          </w:r>
          <w:r w:rsidR="003167ED" w:rsidRPr="005C6282">
            <w:rPr>
              <w:b/>
              <w:bCs/>
              <w:sz w:val="20"/>
              <w:szCs w:val="20"/>
              <w:lang w:val="en-US"/>
            </w:rPr>
            <w:t xml:space="preserve">BÖLÜMÜ </w:t>
          </w:r>
        </w:p>
        <w:p w14:paraId="4EB304DA" w14:textId="33D8F66B" w:rsidR="00112390" w:rsidRPr="005C6282" w:rsidRDefault="0079029A" w:rsidP="00A978E4">
          <w:pPr>
            <w:pStyle w:val="stBilgi"/>
            <w:jc w:val="center"/>
            <w:rPr>
              <w:b/>
              <w:bCs/>
              <w:sz w:val="20"/>
              <w:szCs w:val="20"/>
            </w:rPr>
          </w:pPr>
          <w:r w:rsidRPr="005C6282">
            <w:rPr>
              <w:b/>
              <w:bCs/>
              <w:sz w:val="20"/>
              <w:szCs w:val="20"/>
            </w:rPr>
            <w:t>ÖĞRENCİ KABUL PROSEDÜRÜ</w:t>
          </w:r>
        </w:p>
      </w:tc>
      <w:tc>
        <w:tcPr>
          <w:tcW w:w="1843" w:type="dxa"/>
        </w:tcPr>
        <w:p w14:paraId="2C64F359" w14:textId="546553CC" w:rsidR="00384F51" w:rsidRPr="005C6282" w:rsidRDefault="00384F51" w:rsidP="003A6F6D">
          <w:pPr>
            <w:pStyle w:val="stBilgi"/>
            <w:rPr>
              <w:sz w:val="20"/>
              <w:szCs w:val="20"/>
            </w:rPr>
          </w:pPr>
          <w:r w:rsidRPr="005C6282">
            <w:rPr>
              <w:sz w:val="20"/>
              <w:szCs w:val="20"/>
            </w:rPr>
            <w:t>Doküman No:</w:t>
          </w:r>
        </w:p>
      </w:tc>
      <w:tc>
        <w:tcPr>
          <w:tcW w:w="1559" w:type="dxa"/>
        </w:tcPr>
        <w:p w14:paraId="454C790D" w14:textId="76573012" w:rsidR="00384F51" w:rsidRPr="005C6282" w:rsidRDefault="00EA7154" w:rsidP="003A6F6D">
          <w:pPr>
            <w:pStyle w:val="stBilgi"/>
            <w:rPr>
              <w:sz w:val="20"/>
              <w:szCs w:val="20"/>
            </w:rPr>
          </w:pPr>
          <w:r w:rsidRPr="005C6282">
            <w:rPr>
              <w:sz w:val="20"/>
              <w:szCs w:val="20"/>
            </w:rPr>
            <w:t>YBS</w:t>
          </w:r>
          <w:r w:rsidR="00112390" w:rsidRPr="005C6282">
            <w:rPr>
              <w:sz w:val="20"/>
              <w:szCs w:val="20"/>
            </w:rPr>
            <w:t>.PRD.001</w:t>
          </w:r>
        </w:p>
      </w:tc>
    </w:tr>
    <w:tr w:rsidR="00384F51" w:rsidRPr="005C6282" w14:paraId="581CF7E3" w14:textId="77777777" w:rsidTr="00E7328C">
      <w:trPr>
        <w:trHeight w:val="154"/>
      </w:trPr>
      <w:tc>
        <w:tcPr>
          <w:tcW w:w="2552" w:type="dxa"/>
          <w:vMerge/>
          <w:vAlign w:val="center"/>
        </w:tcPr>
        <w:p w14:paraId="7B74A7DB" w14:textId="77777777" w:rsidR="00384F51" w:rsidRPr="005C6282" w:rsidRDefault="00384F51" w:rsidP="003A6F6D">
          <w:pPr>
            <w:pStyle w:val="stBilgi"/>
            <w:rPr>
              <w:noProof/>
              <w:sz w:val="20"/>
              <w:szCs w:val="20"/>
              <w:lang w:eastAsia="tr-TR"/>
            </w:rPr>
          </w:pPr>
        </w:p>
      </w:tc>
      <w:tc>
        <w:tcPr>
          <w:tcW w:w="4820" w:type="dxa"/>
          <w:vMerge/>
          <w:vAlign w:val="center"/>
        </w:tcPr>
        <w:p w14:paraId="45586635" w14:textId="77777777" w:rsidR="00384F51" w:rsidRPr="005C6282" w:rsidRDefault="00384F51" w:rsidP="003A6F6D">
          <w:pPr>
            <w:pStyle w:val="stBilgi"/>
            <w:rPr>
              <w:sz w:val="20"/>
              <w:szCs w:val="20"/>
            </w:rPr>
          </w:pPr>
        </w:p>
      </w:tc>
      <w:tc>
        <w:tcPr>
          <w:tcW w:w="1843" w:type="dxa"/>
        </w:tcPr>
        <w:p w14:paraId="482D0362" w14:textId="6BC4673F" w:rsidR="00384F51" w:rsidRPr="005C6282" w:rsidRDefault="00384F51" w:rsidP="003A6F6D">
          <w:pPr>
            <w:pStyle w:val="stBilgi"/>
            <w:rPr>
              <w:sz w:val="20"/>
              <w:szCs w:val="20"/>
            </w:rPr>
          </w:pPr>
          <w:r w:rsidRPr="005C6282">
            <w:rPr>
              <w:sz w:val="20"/>
              <w:szCs w:val="20"/>
            </w:rPr>
            <w:t>İlk Yayın Tarihi:</w:t>
          </w:r>
        </w:p>
      </w:tc>
      <w:tc>
        <w:tcPr>
          <w:tcW w:w="1559" w:type="dxa"/>
        </w:tcPr>
        <w:p w14:paraId="6B55DD70" w14:textId="5A99431B" w:rsidR="00384F51" w:rsidRPr="005C6282" w:rsidRDefault="00EA7154" w:rsidP="003A6F6D">
          <w:pPr>
            <w:pStyle w:val="stBilgi"/>
            <w:rPr>
              <w:sz w:val="20"/>
              <w:szCs w:val="20"/>
            </w:rPr>
          </w:pPr>
          <w:r w:rsidRPr="005C6282">
            <w:rPr>
              <w:sz w:val="20"/>
              <w:szCs w:val="20"/>
            </w:rPr>
            <w:t>2</w:t>
          </w:r>
          <w:r w:rsidR="003C05FA" w:rsidRPr="005C6282">
            <w:rPr>
              <w:sz w:val="20"/>
              <w:szCs w:val="20"/>
            </w:rPr>
            <w:t>5</w:t>
          </w:r>
          <w:r w:rsidR="00112390" w:rsidRPr="005C6282">
            <w:rPr>
              <w:sz w:val="20"/>
              <w:szCs w:val="20"/>
            </w:rPr>
            <w:t>.0</w:t>
          </w:r>
          <w:r w:rsidR="0079029A" w:rsidRPr="005C6282">
            <w:rPr>
              <w:sz w:val="20"/>
              <w:szCs w:val="20"/>
            </w:rPr>
            <w:t>5</w:t>
          </w:r>
          <w:r w:rsidR="00112390" w:rsidRPr="005C6282">
            <w:rPr>
              <w:sz w:val="20"/>
              <w:szCs w:val="20"/>
            </w:rPr>
            <w:t>.2025</w:t>
          </w:r>
        </w:p>
      </w:tc>
    </w:tr>
    <w:tr w:rsidR="00384F51" w:rsidRPr="005C6282" w14:paraId="54BEB8CC" w14:textId="77777777" w:rsidTr="00E7328C">
      <w:trPr>
        <w:trHeight w:val="154"/>
      </w:trPr>
      <w:tc>
        <w:tcPr>
          <w:tcW w:w="2552" w:type="dxa"/>
          <w:vMerge/>
          <w:vAlign w:val="center"/>
        </w:tcPr>
        <w:p w14:paraId="6A5EB660" w14:textId="77777777" w:rsidR="00384F51" w:rsidRPr="005C6282" w:rsidRDefault="00384F51" w:rsidP="003A6F6D">
          <w:pPr>
            <w:pStyle w:val="stBilgi"/>
            <w:rPr>
              <w:noProof/>
              <w:sz w:val="20"/>
              <w:szCs w:val="20"/>
              <w:lang w:eastAsia="tr-TR"/>
            </w:rPr>
          </w:pPr>
        </w:p>
      </w:tc>
      <w:tc>
        <w:tcPr>
          <w:tcW w:w="4820" w:type="dxa"/>
          <w:vMerge/>
          <w:vAlign w:val="center"/>
        </w:tcPr>
        <w:p w14:paraId="4E8764D4" w14:textId="77777777" w:rsidR="00384F51" w:rsidRPr="005C6282" w:rsidRDefault="00384F51" w:rsidP="003A6F6D">
          <w:pPr>
            <w:pStyle w:val="stBilgi"/>
            <w:rPr>
              <w:sz w:val="20"/>
              <w:szCs w:val="20"/>
            </w:rPr>
          </w:pPr>
        </w:p>
      </w:tc>
      <w:tc>
        <w:tcPr>
          <w:tcW w:w="1843" w:type="dxa"/>
        </w:tcPr>
        <w:p w14:paraId="3C8AEF87" w14:textId="1FA082BE" w:rsidR="00384F51" w:rsidRPr="005C6282" w:rsidRDefault="00384F51" w:rsidP="003A6F6D">
          <w:pPr>
            <w:pStyle w:val="stBilgi"/>
            <w:rPr>
              <w:sz w:val="20"/>
              <w:szCs w:val="20"/>
            </w:rPr>
          </w:pPr>
          <w:r w:rsidRPr="005C6282">
            <w:rPr>
              <w:sz w:val="20"/>
              <w:szCs w:val="20"/>
            </w:rPr>
            <w:t>Revizyon Tarihi:</w:t>
          </w:r>
        </w:p>
      </w:tc>
      <w:tc>
        <w:tcPr>
          <w:tcW w:w="1559" w:type="dxa"/>
        </w:tcPr>
        <w:p w14:paraId="3B33FEB2" w14:textId="00E90C2E" w:rsidR="00384F51" w:rsidRPr="005C6282" w:rsidRDefault="00FA108B" w:rsidP="003A6F6D">
          <w:pPr>
            <w:pStyle w:val="stBilgi"/>
            <w:rPr>
              <w:sz w:val="20"/>
              <w:szCs w:val="20"/>
            </w:rPr>
          </w:pPr>
          <w:r w:rsidRPr="005C6282">
            <w:rPr>
              <w:sz w:val="20"/>
              <w:szCs w:val="20"/>
            </w:rPr>
            <w:t>-</w:t>
          </w:r>
        </w:p>
      </w:tc>
    </w:tr>
    <w:tr w:rsidR="00384F51" w:rsidRPr="005C6282" w14:paraId="2DC3E8F8" w14:textId="77777777" w:rsidTr="00E7328C">
      <w:trPr>
        <w:trHeight w:val="154"/>
      </w:trPr>
      <w:tc>
        <w:tcPr>
          <w:tcW w:w="2552" w:type="dxa"/>
          <w:vMerge/>
          <w:vAlign w:val="center"/>
        </w:tcPr>
        <w:p w14:paraId="33C4448D" w14:textId="77777777" w:rsidR="00384F51" w:rsidRPr="005C6282" w:rsidRDefault="00384F51" w:rsidP="003A6F6D">
          <w:pPr>
            <w:pStyle w:val="stBilgi"/>
            <w:rPr>
              <w:noProof/>
              <w:sz w:val="20"/>
              <w:szCs w:val="20"/>
              <w:lang w:eastAsia="tr-TR"/>
            </w:rPr>
          </w:pPr>
        </w:p>
      </w:tc>
      <w:tc>
        <w:tcPr>
          <w:tcW w:w="4820" w:type="dxa"/>
          <w:vMerge/>
          <w:vAlign w:val="center"/>
        </w:tcPr>
        <w:p w14:paraId="0B8691EB" w14:textId="77777777" w:rsidR="00384F51" w:rsidRPr="005C6282" w:rsidRDefault="00384F51" w:rsidP="003A6F6D">
          <w:pPr>
            <w:pStyle w:val="stBilgi"/>
            <w:rPr>
              <w:sz w:val="20"/>
              <w:szCs w:val="20"/>
            </w:rPr>
          </w:pPr>
        </w:p>
      </w:tc>
      <w:tc>
        <w:tcPr>
          <w:tcW w:w="1843" w:type="dxa"/>
        </w:tcPr>
        <w:p w14:paraId="5F47B87F" w14:textId="245C1959" w:rsidR="00384F51" w:rsidRPr="005C6282" w:rsidRDefault="00384F51" w:rsidP="003A6F6D">
          <w:pPr>
            <w:pStyle w:val="stBilgi"/>
            <w:rPr>
              <w:sz w:val="20"/>
              <w:szCs w:val="20"/>
            </w:rPr>
          </w:pPr>
          <w:r w:rsidRPr="005C6282">
            <w:rPr>
              <w:sz w:val="20"/>
              <w:szCs w:val="20"/>
            </w:rPr>
            <w:t>Revizyon No:</w:t>
          </w:r>
        </w:p>
      </w:tc>
      <w:tc>
        <w:tcPr>
          <w:tcW w:w="1559" w:type="dxa"/>
        </w:tcPr>
        <w:p w14:paraId="44989CCB" w14:textId="1DB697C4" w:rsidR="00384F51" w:rsidRPr="005C6282" w:rsidRDefault="00FA108B" w:rsidP="003A6F6D">
          <w:pPr>
            <w:pStyle w:val="stBilgi"/>
            <w:rPr>
              <w:sz w:val="20"/>
              <w:szCs w:val="20"/>
            </w:rPr>
          </w:pPr>
          <w:r w:rsidRPr="005C6282">
            <w:rPr>
              <w:sz w:val="20"/>
              <w:szCs w:val="20"/>
            </w:rPr>
            <w:t>00</w:t>
          </w:r>
        </w:p>
      </w:tc>
    </w:tr>
    <w:tr w:rsidR="00384F51" w:rsidRPr="005C6282" w14:paraId="66FF24B9" w14:textId="77777777" w:rsidTr="00E7328C">
      <w:trPr>
        <w:trHeight w:val="154"/>
      </w:trPr>
      <w:tc>
        <w:tcPr>
          <w:tcW w:w="2552" w:type="dxa"/>
          <w:vMerge/>
          <w:vAlign w:val="center"/>
        </w:tcPr>
        <w:p w14:paraId="4FCD4809" w14:textId="77777777" w:rsidR="00384F51" w:rsidRPr="005C6282" w:rsidRDefault="00384F51" w:rsidP="003A6F6D">
          <w:pPr>
            <w:pStyle w:val="stBilgi"/>
            <w:rPr>
              <w:noProof/>
              <w:sz w:val="20"/>
              <w:szCs w:val="20"/>
              <w:lang w:eastAsia="tr-TR"/>
            </w:rPr>
          </w:pPr>
        </w:p>
      </w:tc>
      <w:tc>
        <w:tcPr>
          <w:tcW w:w="4820" w:type="dxa"/>
          <w:vMerge/>
          <w:vAlign w:val="center"/>
        </w:tcPr>
        <w:p w14:paraId="11516839" w14:textId="77777777" w:rsidR="00384F51" w:rsidRPr="005C6282" w:rsidRDefault="00384F51" w:rsidP="003A6F6D">
          <w:pPr>
            <w:pStyle w:val="stBilgi"/>
            <w:rPr>
              <w:sz w:val="20"/>
              <w:szCs w:val="20"/>
            </w:rPr>
          </w:pPr>
        </w:p>
      </w:tc>
      <w:tc>
        <w:tcPr>
          <w:tcW w:w="1843" w:type="dxa"/>
        </w:tcPr>
        <w:p w14:paraId="7D850839" w14:textId="6B0D413E" w:rsidR="00384F51" w:rsidRPr="005C6282" w:rsidRDefault="00384F51" w:rsidP="003A6F6D">
          <w:pPr>
            <w:pStyle w:val="stBilgi"/>
            <w:rPr>
              <w:sz w:val="20"/>
              <w:szCs w:val="20"/>
            </w:rPr>
          </w:pPr>
          <w:r w:rsidRPr="005C6282">
            <w:rPr>
              <w:sz w:val="20"/>
              <w:szCs w:val="20"/>
            </w:rPr>
            <w:t>Sayfa No:</w:t>
          </w:r>
        </w:p>
      </w:tc>
      <w:tc>
        <w:tcPr>
          <w:tcW w:w="1559" w:type="dxa"/>
        </w:tcPr>
        <w:p w14:paraId="7B181C35" w14:textId="0BF23412" w:rsidR="00384F51" w:rsidRPr="005C6282" w:rsidRDefault="003F241E" w:rsidP="003A6F6D">
          <w:pPr>
            <w:pStyle w:val="stBilgi"/>
            <w:rPr>
              <w:sz w:val="20"/>
              <w:szCs w:val="20"/>
            </w:rPr>
          </w:pPr>
          <w:r w:rsidRPr="005C6282">
            <w:rPr>
              <w:sz w:val="20"/>
              <w:szCs w:val="20"/>
            </w:rPr>
            <w:fldChar w:fldCharType="begin"/>
          </w:r>
          <w:r w:rsidRPr="005C6282">
            <w:rPr>
              <w:sz w:val="20"/>
              <w:szCs w:val="20"/>
            </w:rPr>
            <w:instrText>PAGE   \* MERGEFORMAT</w:instrText>
          </w:r>
          <w:r w:rsidRPr="005C6282">
            <w:rPr>
              <w:sz w:val="20"/>
              <w:szCs w:val="20"/>
            </w:rPr>
            <w:fldChar w:fldCharType="separate"/>
          </w:r>
          <w:r w:rsidRPr="005C6282">
            <w:rPr>
              <w:sz w:val="20"/>
              <w:szCs w:val="20"/>
            </w:rPr>
            <w:t>1</w:t>
          </w:r>
          <w:r w:rsidRPr="005C6282">
            <w:rPr>
              <w:sz w:val="20"/>
              <w:szCs w:val="20"/>
            </w:rPr>
            <w:fldChar w:fldCharType="end"/>
          </w:r>
          <w:r w:rsidRPr="005C6282">
            <w:rPr>
              <w:sz w:val="20"/>
              <w:szCs w:val="20"/>
            </w:rPr>
            <w:t>/</w:t>
          </w:r>
          <w:r w:rsidR="00FB3984" w:rsidRPr="005C6282">
            <w:rPr>
              <w:sz w:val="20"/>
              <w:szCs w:val="20"/>
            </w:rPr>
            <w:t>2</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2" w15:restartNumberingAfterBreak="0">
    <w:nsid w:val="6F2C37B0"/>
    <w:multiLevelType w:val="hybridMultilevel"/>
    <w:tmpl w:val="198C835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1393431183">
    <w:abstractNumId w:val="1"/>
  </w:num>
  <w:num w:numId="3" w16cid:durableId="2318912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95836"/>
    <w:rsid w:val="00096D24"/>
    <w:rsid w:val="000B276C"/>
    <w:rsid w:val="000B40C9"/>
    <w:rsid w:val="000C21CB"/>
    <w:rsid w:val="000C2595"/>
    <w:rsid w:val="000C5832"/>
    <w:rsid w:val="000C65BC"/>
    <w:rsid w:val="0010144F"/>
    <w:rsid w:val="00111FB2"/>
    <w:rsid w:val="00112390"/>
    <w:rsid w:val="00125D85"/>
    <w:rsid w:val="00130166"/>
    <w:rsid w:val="001422AE"/>
    <w:rsid w:val="001450CE"/>
    <w:rsid w:val="001526DC"/>
    <w:rsid w:val="001636BD"/>
    <w:rsid w:val="0016373F"/>
    <w:rsid w:val="00180C72"/>
    <w:rsid w:val="00182204"/>
    <w:rsid w:val="001A0D61"/>
    <w:rsid w:val="001A2010"/>
    <w:rsid w:val="001B7AB7"/>
    <w:rsid w:val="001D4C1F"/>
    <w:rsid w:val="001E3864"/>
    <w:rsid w:val="001F2107"/>
    <w:rsid w:val="00203B7C"/>
    <w:rsid w:val="00225877"/>
    <w:rsid w:val="00235C6E"/>
    <w:rsid w:val="00235F39"/>
    <w:rsid w:val="00245B9E"/>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10CF"/>
    <w:rsid w:val="00304279"/>
    <w:rsid w:val="003157E7"/>
    <w:rsid w:val="003167ED"/>
    <w:rsid w:val="00321673"/>
    <w:rsid w:val="0032341F"/>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05FA"/>
    <w:rsid w:val="003D4DCE"/>
    <w:rsid w:val="003D5E3A"/>
    <w:rsid w:val="003F241E"/>
    <w:rsid w:val="00403546"/>
    <w:rsid w:val="0041546D"/>
    <w:rsid w:val="004168FE"/>
    <w:rsid w:val="00422799"/>
    <w:rsid w:val="00424D9E"/>
    <w:rsid w:val="00434CC9"/>
    <w:rsid w:val="00434D9F"/>
    <w:rsid w:val="00445009"/>
    <w:rsid w:val="00463301"/>
    <w:rsid w:val="004636D6"/>
    <w:rsid w:val="004657C6"/>
    <w:rsid w:val="00467773"/>
    <w:rsid w:val="004742ED"/>
    <w:rsid w:val="00485BF0"/>
    <w:rsid w:val="00487ECD"/>
    <w:rsid w:val="00495A30"/>
    <w:rsid w:val="004A2708"/>
    <w:rsid w:val="004B772A"/>
    <w:rsid w:val="004C198C"/>
    <w:rsid w:val="004E482C"/>
    <w:rsid w:val="004F0D52"/>
    <w:rsid w:val="00501806"/>
    <w:rsid w:val="0050672E"/>
    <w:rsid w:val="00506FD1"/>
    <w:rsid w:val="00514ECE"/>
    <w:rsid w:val="005155F8"/>
    <w:rsid w:val="00540D56"/>
    <w:rsid w:val="00552EED"/>
    <w:rsid w:val="005552BF"/>
    <w:rsid w:val="00564900"/>
    <w:rsid w:val="00564ADD"/>
    <w:rsid w:val="00591C8F"/>
    <w:rsid w:val="005C2C4F"/>
    <w:rsid w:val="005C6282"/>
    <w:rsid w:val="005D1DA7"/>
    <w:rsid w:val="005D3E49"/>
    <w:rsid w:val="005E1576"/>
    <w:rsid w:val="005E211D"/>
    <w:rsid w:val="006003B4"/>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5752"/>
    <w:rsid w:val="00736D21"/>
    <w:rsid w:val="00736EAE"/>
    <w:rsid w:val="007460F0"/>
    <w:rsid w:val="00747B69"/>
    <w:rsid w:val="0075140B"/>
    <w:rsid w:val="0075682C"/>
    <w:rsid w:val="00763742"/>
    <w:rsid w:val="0078119C"/>
    <w:rsid w:val="00781F09"/>
    <w:rsid w:val="007849CA"/>
    <w:rsid w:val="0079029A"/>
    <w:rsid w:val="007975F4"/>
    <w:rsid w:val="007A6D00"/>
    <w:rsid w:val="007B2565"/>
    <w:rsid w:val="007C1E1B"/>
    <w:rsid w:val="007C2875"/>
    <w:rsid w:val="007C3BD7"/>
    <w:rsid w:val="007C52F1"/>
    <w:rsid w:val="007D5255"/>
    <w:rsid w:val="007D63DC"/>
    <w:rsid w:val="007E327B"/>
    <w:rsid w:val="007E4F5E"/>
    <w:rsid w:val="007E60AF"/>
    <w:rsid w:val="007E62E2"/>
    <w:rsid w:val="007F74A6"/>
    <w:rsid w:val="00805E37"/>
    <w:rsid w:val="00813C66"/>
    <w:rsid w:val="008145C1"/>
    <w:rsid w:val="00821F3A"/>
    <w:rsid w:val="00827E02"/>
    <w:rsid w:val="00845572"/>
    <w:rsid w:val="008508BE"/>
    <w:rsid w:val="00855F07"/>
    <w:rsid w:val="0086578B"/>
    <w:rsid w:val="00867883"/>
    <w:rsid w:val="008820A6"/>
    <w:rsid w:val="00885231"/>
    <w:rsid w:val="00885650"/>
    <w:rsid w:val="008A39F1"/>
    <w:rsid w:val="008B3704"/>
    <w:rsid w:val="008B4CA0"/>
    <w:rsid w:val="008C4719"/>
    <w:rsid w:val="008D1D00"/>
    <w:rsid w:val="008D733B"/>
    <w:rsid w:val="008E014B"/>
    <w:rsid w:val="008F6B77"/>
    <w:rsid w:val="00900870"/>
    <w:rsid w:val="009149E0"/>
    <w:rsid w:val="00924829"/>
    <w:rsid w:val="00924F1C"/>
    <w:rsid w:val="00926204"/>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7437"/>
    <w:rsid w:val="009E41E2"/>
    <w:rsid w:val="009F0E31"/>
    <w:rsid w:val="00A00B03"/>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8E4"/>
    <w:rsid w:val="00A97A46"/>
    <w:rsid w:val="00AB67CE"/>
    <w:rsid w:val="00AC4257"/>
    <w:rsid w:val="00AD6ED2"/>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B1ECB"/>
    <w:rsid w:val="00BB21C0"/>
    <w:rsid w:val="00BB47D5"/>
    <w:rsid w:val="00BC6265"/>
    <w:rsid w:val="00BC6A49"/>
    <w:rsid w:val="00BD3489"/>
    <w:rsid w:val="00BE0969"/>
    <w:rsid w:val="00BE43EA"/>
    <w:rsid w:val="00BE4F6E"/>
    <w:rsid w:val="00C04173"/>
    <w:rsid w:val="00C049A1"/>
    <w:rsid w:val="00C1057C"/>
    <w:rsid w:val="00C10B70"/>
    <w:rsid w:val="00C13645"/>
    <w:rsid w:val="00C26FA8"/>
    <w:rsid w:val="00C35AEC"/>
    <w:rsid w:val="00C436CA"/>
    <w:rsid w:val="00C4718E"/>
    <w:rsid w:val="00C6115D"/>
    <w:rsid w:val="00C673B6"/>
    <w:rsid w:val="00C75023"/>
    <w:rsid w:val="00C82752"/>
    <w:rsid w:val="00C866BA"/>
    <w:rsid w:val="00C8777F"/>
    <w:rsid w:val="00C93A9A"/>
    <w:rsid w:val="00CA0473"/>
    <w:rsid w:val="00CB098F"/>
    <w:rsid w:val="00CB0EFD"/>
    <w:rsid w:val="00CB6671"/>
    <w:rsid w:val="00CD112F"/>
    <w:rsid w:val="00CD7497"/>
    <w:rsid w:val="00CE1B92"/>
    <w:rsid w:val="00CE43D2"/>
    <w:rsid w:val="00CE7FB0"/>
    <w:rsid w:val="00CF2C06"/>
    <w:rsid w:val="00D06917"/>
    <w:rsid w:val="00D150CB"/>
    <w:rsid w:val="00D22228"/>
    <w:rsid w:val="00D23C43"/>
    <w:rsid w:val="00D251F0"/>
    <w:rsid w:val="00D27F4F"/>
    <w:rsid w:val="00D41928"/>
    <w:rsid w:val="00D52907"/>
    <w:rsid w:val="00D65A7E"/>
    <w:rsid w:val="00D7189F"/>
    <w:rsid w:val="00D97012"/>
    <w:rsid w:val="00DA0F70"/>
    <w:rsid w:val="00DA5B57"/>
    <w:rsid w:val="00DB0540"/>
    <w:rsid w:val="00DC560F"/>
    <w:rsid w:val="00DC75DA"/>
    <w:rsid w:val="00DD09D6"/>
    <w:rsid w:val="00DD0CDE"/>
    <w:rsid w:val="00DF396C"/>
    <w:rsid w:val="00E0075E"/>
    <w:rsid w:val="00E073D5"/>
    <w:rsid w:val="00E11C41"/>
    <w:rsid w:val="00E1772E"/>
    <w:rsid w:val="00E30E12"/>
    <w:rsid w:val="00E44A21"/>
    <w:rsid w:val="00E5068C"/>
    <w:rsid w:val="00E52E86"/>
    <w:rsid w:val="00E644F9"/>
    <w:rsid w:val="00E7328C"/>
    <w:rsid w:val="00E73956"/>
    <w:rsid w:val="00E93D33"/>
    <w:rsid w:val="00EA7154"/>
    <w:rsid w:val="00EB18A1"/>
    <w:rsid w:val="00EC013C"/>
    <w:rsid w:val="00EE506F"/>
    <w:rsid w:val="00EF1D5C"/>
    <w:rsid w:val="00F3028F"/>
    <w:rsid w:val="00F30556"/>
    <w:rsid w:val="00F4337D"/>
    <w:rsid w:val="00F43EC4"/>
    <w:rsid w:val="00F54792"/>
    <w:rsid w:val="00F67FBD"/>
    <w:rsid w:val="00F75D31"/>
    <w:rsid w:val="00F81C5F"/>
    <w:rsid w:val="00F8455D"/>
    <w:rsid w:val="00FA108B"/>
    <w:rsid w:val="00FA1580"/>
    <w:rsid w:val="00FB3984"/>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3234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Balk5Char">
    <w:name w:val="Başlık 5 Char"/>
    <w:basedOn w:val="VarsaylanParagrafYazTipi"/>
    <w:link w:val="Balk5"/>
    <w:uiPriority w:val="9"/>
    <w:semiHidden/>
    <w:rsid w:val="0032341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4353486">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23492932">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52275198">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1622573">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27195903">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705976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11825915">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441</Words>
  <Characters>2520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27</cp:revision>
  <cp:lastPrinted>2025-04-08T23:39:00Z</cp:lastPrinted>
  <dcterms:created xsi:type="dcterms:W3CDTF">2025-04-30T10:19:00Z</dcterms:created>
  <dcterms:modified xsi:type="dcterms:W3CDTF">2025-07-25T13:35:00Z</dcterms:modified>
</cp:coreProperties>
</file>