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6064" w14:textId="77777777" w:rsidR="006B78D4" w:rsidRDefault="00783800">
      <w:pPr>
        <w:pBdr>
          <w:top w:val="nil"/>
          <w:left w:val="nil"/>
          <w:bottom w:val="nil"/>
          <w:right w:val="nil"/>
          <w:between w:val="nil"/>
        </w:pBdr>
        <w:tabs>
          <w:tab w:val="left" w:pos="2412"/>
        </w:tabs>
        <w:spacing w:after="0"/>
        <w:rPr>
          <w:b/>
          <w:color w:val="000000"/>
        </w:rPr>
      </w:pPr>
      <w:r>
        <w:rPr>
          <w:b/>
          <w:color w:val="000000"/>
        </w:rPr>
        <w:tab/>
      </w:r>
    </w:p>
    <w:p w14:paraId="14A4CF7F" w14:textId="77777777" w:rsidR="006B78D4" w:rsidRDefault="00783800">
      <w:pPr>
        <w:pBdr>
          <w:top w:val="nil"/>
          <w:left w:val="nil"/>
          <w:bottom w:val="nil"/>
          <w:right w:val="nil"/>
          <w:between w:val="nil"/>
        </w:pBdr>
        <w:spacing w:after="0"/>
        <w:rPr>
          <w:color w:val="000000"/>
        </w:rPr>
      </w:pPr>
      <w:r>
        <w:rPr>
          <w:color w:val="000000"/>
        </w:rPr>
        <w:t>Üniversitemiz, çevresel sürdürülebilirliği esas alan bir anlayışla, Sıfır Atık Komisyonu koordinasyonunda kaynak yönetimini verimli hale getirmeyi ve atık üretimini en aza indirmeyi temel hedef olarak benimsemiştir. Bu doğrultuda aşağıdaki kalite ilkeleri esas alınarak çalışmalar yürütülmektedir:</w:t>
      </w:r>
    </w:p>
    <w:p w14:paraId="11B8F595" w14:textId="77777777" w:rsidR="006B78D4" w:rsidRDefault="006B78D4">
      <w:pPr>
        <w:pBdr>
          <w:top w:val="nil"/>
          <w:left w:val="nil"/>
          <w:bottom w:val="nil"/>
          <w:right w:val="nil"/>
          <w:between w:val="nil"/>
        </w:pBdr>
        <w:spacing w:after="0"/>
        <w:rPr>
          <w:color w:val="000000"/>
        </w:rPr>
      </w:pPr>
    </w:p>
    <w:p w14:paraId="7FB222AD" w14:textId="77777777" w:rsidR="006B78D4" w:rsidRDefault="00783800">
      <w:pPr>
        <w:pStyle w:val="Balk3"/>
        <w:rPr>
          <w:rFonts w:ascii="Times New Roman" w:eastAsia="Times New Roman" w:hAnsi="Times New Roman" w:cs="Times New Roman"/>
          <w:b/>
          <w:color w:val="000000"/>
        </w:rPr>
      </w:pPr>
      <w:r>
        <w:rPr>
          <w:rFonts w:ascii="Times New Roman" w:eastAsia="Times New Roman" w:hAnsi="Times New Roman" w:cs="Times New Roman"/>
          <w:b/>
          <w:color w:val="000000"/>
        </w:rPr>
        <w:t>1. Yasal Uygunluk ve Sürekli Gelişim</w:t>
      </w:r>
    </w:p>
    <w:p w14:paraId="6FE946F9" w14:textId="77777777" w:rsidR="006B78D4" w:rsidRDefault="00783800">
      <w:pPr>
        <w:pBdr>
          <w:top w:val="nil"/>
          <w:left w:val="nil"/>
          <w:bottom w:val="nil"/>
          <w:right w:val="nil"/>
          <w:between w:val="nil"/>
        </w:pBdr>
        <w:rPr>
          <w:color w:val="000000"/>
        </w:rPr>
      </w:pPr>
      <w:r>
        <w:rPr>
          <w:color w:val="000000"/>
        </w:rPr>
        <w:t>Atık yönetimi süreçleri, Çevre Kanunu ve Sıfır Atık Yönetmeliği başta olmak üzere yürürlükteki tüm mevzuatlara uygun olarak gerçekleştirilir. Uygulamalar, çevre politikalarındaki güncel gelişmeler dikkate alınarak düzenli aralıklarla gözden geçirilir ve sürekli iyileştirme hedeflenir.</w:t>
      </w:r>
    </w:p>
    <w:p w14:paraId="6354AFAC" w14:textId="77777777" w:rsidR="006B78D4" w:rsidRDefault="00783800">
      <w:pPr>
        <w:pStyle w:val="Balk3"/>
        <w:rPr>
          <w:rFonts w:ascii="Times New Roman" w:eastAsia="Times New Roman" w:hAnsi="Times New Roman" w:cs="Times New Roman"/>
          <w:b/>
          <w:color w:val="000000"/>
        </w:rPr>
      </w:pPr>
      <w:r>
        <w:rPr>
          <w:rFonts w:ascii="Times New Roman" w:eastAsia="Times New Roman" w:hAnsi="Times New Roman" w:cs="Times New Roman"/>
          <w:b/>
          <w:color w:val="000000"/>
        </w:rPr>
        <w:t>2. Atıkların Kaynağında Ayrımı ve Değerlendirilmesi</w:t>
      </w:r>
    </w:p>
    <w:p w14:paraId="42E44502" w14:textId="77777777" w:rsidR="006B78D4" w:rsidRDefault="00783800">
      <w:pPr>
        <w:pBdr>
          <w:top w:val="nil"/>
          <w:left w:val="nil"/>
          <w:bottom w:val="nil"/>
          <w:right w:val="nil"/>
          <w:between w:val="nil"/>
        </w:pBdr>
        <w:rPr>
          <w:color w:val="000000"/>
        </w:rPr>
      </w:pPr>
      <w:r>
        <w:rPr>
          <w:color w:val="000000"/>
        </w:rPr>
        <w:t>Tüm kampüs genelinde atıkların oluştuğu noktada ayrıştırılması temel ilke olarak kabul edilir. Bu amaçla, uygun donanım ve altyapı ile atıklar ayrı toplanır, geçici olarak depolanır ve yetkili geri dönüşüm tesislerine ulaştırılır. Geri kazanım oranlarının artırılması öncelikler arasında yer alır.</w:t>
      </w:r>
    </w:p>
    <w:p w14:paraId="4A382A4E" w14:textId="77777777" w:rsidR="006B78D4" w:rsidRDefault="00783800">
      <w:pPr>
        <w:pStyle w:val="Balk3"/>
        <w:rPr>
          <w:rFonts w:ascii="Times New Roman" w:eastAsia="Times New Roman" w:hAnsi="Times New Roman" w:cs="Times New Roman"/>
          <w:b/>
          <w:color w:val="000000"/>
        </w:rPr>
      </w:pPr>
      <w:r>
        <w:rPr>
          <w:rFonts w:ascii="Times New Roman" w:eastAsia="Times New Roman" w:hAnsi="Times New Roman" w:cs="Times New Roman"/>
          <w:b/>
          <w:color w:val="000000"/>
        </w:rPr>
        <w:t>3. Eğitim, Bilinçlendirme ve Katılım</w:t>
      </w:r>
    </w:p>
    <w:p w14:paraId="67BBBE3C" w14:textId="77777777" w:rsidR="006B78D4" w:rsidRDefault="00783800">
      <w:pPr>
        <w:pBdr>
          <w:top w:val="nil"/>
          <w:left w:val="nil"/>
          <w:bottom w:val="nil"/>
          <w:right w:val="nil"/>
          <w:between w:val="nil"/>
        </w:pBdr>
        <w:rPr>
          <w:color w:val="000000"/>
        </w:rPr>
      </w:pPr>
      <w:r>
        <w:rPr>
          <w:color w:val="000000"/>
        </w:rPr>
        <w:t>Akademik ve idari personelin yanı sıra öğrencilerin de sıfır atık konusunda farkındalık düzeylerini yükseltmek amacıyla bilgilendirme toplantıları, seminerler ve afiş/broşür gibi iletişim araçlarıyla sürekli bir bilinçlendirme süreci yürütülür. Tüm bireylerin sürece aktif katılımı teşvik edilir.</w:t>
      </w:r>
    </w:p>
    <w:p w14:paraId="287E0413" w14:textId="77777777" w:rsidR="006B78D4" w:rsidRDefault="00783800">
      <w:pPr>
        <w:pStyle w:val="Balk3"/>
        <w:rPr>
          <w:rFonts w:ascii="Times New Roman" w:eastAsia="Times New Roman" w:hAnsi="Times New Roman" w:cs="Times New Roman"/>
          <w:b/>
          <w:color w:val="000000"/>
        </w:rPr>
      </w:pPr>
      <w:r>
        <w:rPr>
          <w:rFonts w:ascii="Times New Roman" w:eastAsia="Times New Roman" w:hAnsi="Times New Roman" w:cs="Times New Roman"/>
          <w:b/>
          <w:color w:val="000000"/>
        </w:rPr>
        <w:t>4. Ortak Sorumluluk ve Paydaş Katılımı</w:t>
      </w:r>
    </w:p>
    <w:p w14:paraId="056F258C" w14:textId="77777777" w:rsidR="006B78D4" w:rsidRDefault="00783800">
      <w:pPr>
        <w:pBdr>
          <w:top w:val="nil"/>
          <w:left w:val="nil"/>
          <w:bottom w:val="nil"/>
          <w:right w:val="nil"/>
          <w:between w:val="nil"/>
        </w:pBdr>
        <w:rPr>
          <w:color w:val="000000"/>
        </w:rPr>
      </w:pPr>
      <w:r>
        <w:rPr>
          <w:color w:val="000000"/>
        </w:rPr>
        <w:t>Üniversite birimleri içerisinde belirlenen “Sıfır Atık Sorumluları” aracılığıyla her bölümde uygulamaların sürdürülebilirliği sağlanır. Komisyonun çalışmaları birim temsilcileriyle iş birliği içinde yürütülerek kurumsal farkındalık ve sorumluluk anlayışı güçlendirilir.</w:t>
      </w:r>
    </w:p>
    <w:p w14:paraId="14001AC4" w14:textId="77777777" w:rsidR="006B78D4" w:rsidRDefault="00783800">
      <w:pPr>
        <w:pStyle w:val="Balk3"/>
        <w:rPr>
          <w:rFonts w:ascii="Times New Roman" w:eastAsia="Times New Roman" w:hAnsi="Times New Roman" w:cs="Times New Roman"/>
          <w:b/>
          <w:color w:val="000000"/>
        </w:rPr>
      </w:pPr>
      <w:r>
        <w:rPr>
          <w:rFonts w:ascii="Times New Roman" w:eastAsia="Times New Roman" w:hAnsi="Times New Roman" w:cs="Times New Roman"/>
          <w:b/>
          <w:color w:val="000000"/>
        </w:rPr>
        <w:t>5. Süreç Takibi ve Geri Bildirim</w:t>
      </w:r>
    </w:p>
    <w:p w14:paraId="630F9FCD" w14:textId="77777777" w:rsidR="006B78D4" w:rsidRDefault="00783800">
      <w:pPr>
        <w:pBdr>
          <w:top w:val="nil"/>
          <w:left w:val="nil"/>
          <w:bottom w:val="nil"/>
          <w:right w:val="nil"/>
          <w:between w:val="nil"/>
        </w:pBdr>
        <w:rPr>
          <w:color w:val="000000"/>
        </w:rPr>
      </w:pPr>
      <w:r>
        <w:rPr>
          <w:color w:val="000000"/>
        </w:rPr>
        <w:t>Yürütülen sıfır atık faaliyetleri düzenli olarak izlenir, ölçülür ve elde edilen veriler ışığında performans değerlendirmesi yapılır. Bu sonuçlar doğrultusunda süreçler güncellenir, gelişim alanları belirlenir ve hazırlanan raporlar şeffaf biçimde ilgili taraflarla paylaşılır.</w:t>
      </w:r>
    </w:p>
    <w:p w14:paraId="69726A11" w14:textId="77777777" w:rsidR="006B78D4" w:rsidRDefault="00783800">
      <w:pPr>
        <w:pStyle w:val="Balk3"/>
        <w:rPr>
          <w:rFonts w:ascii="Times New Roman" w:eastAsia="Times New Roman" w:hAnsi="Times New Roman" w:cs="Times New Roman"/>
          <w:b/>
          <w:color w:val="000000"/>
        </w:rPr>
      </w:pPr>
      <w:r>
        <w:rPr>
          <w:rFonts w:ascii="Times New Roman" w:eastAsia="Times New Roman" w:hAnsi="Times New Roman" w:cs="Times New Roman"/>
          <w:b/>
          <w:color w:val="000000"/>
        </w:rPr>
        <w:t>6. Yenilikçi Yaklaşımlar ve Sürdürülebilirlik Hedefi</w:t>
      </w:r>
    </w:p>
    <w:p w14:paraId="655BEBE9" w14:textId="77777777" w:rsidR="006B78D4" w:rsidRDefault="00783800">
      <w:pPr>
        <w:pBdr>
          <w:top w:val="nil"/>
          <w:left w:val="nil"/>
          <w:bottom w:val="nil"/>
          <w:right w:val="nil"/>
          <w:between w:val="nil"/>
        </w:pBdr>
        <w:rPr>
          <w:b/>
          <w:color w:val="000000"/>
        </w:rPr>
      </w:pPr>
      <w:r>
        <w:rPr>
          <w:color w:val="000000"/>
        </w:rPr>
        <w:t>Enerji tasarrufu sağlayan, çevre dostu ve yenilikçi uygulamalar desteklenir. Üniversitemiz, sıfır atık hedefinin ötesinde sürdürülebilirlik konusunda öncü bir yükseköğretim kurumu olma yolunda ilerlemekte ve örnek uygulamaları yaygınlaştırmayı amaçlamaktadır.</w:t>
      </w:r>
    </w:p>
    <w:p w14:paraId="12762C67" w14:textId="77777777" w:rsidR="006B78D4" w:rsidRDefault="006B78D4"/>
    <w:sectPr w:rsidR="006B78D4">
      <w:headerReference w:type="default" r:id="rId8"/>
      <w:footerReference w:type="default" r:id="rId9"/>
      <w:pgSz w:w="11906" w:h="16838"/>
      <w:pgMar w:top="1417" w:right="1417" w:bottom="1417" w:left="1417" w:header="567"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91BC" w14:textId="77777777" w:rsidR="00783800" w:rsidRDefault="00783800">
      <w:pPr>
        <w:spacing w:after="0"/>
      </w:pPr>
      <w:r>
        <w:separator/>
      </w:r>
    </w:p>
  </w:endnote>
  <w:endnote w:type="continuationSeparator" w:id="0">
    <w:p w14:paraId="6592876C" w14:textId="77777777" w:rsidR="00783800" w:rsidRDefault="00783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283D" w14:textId="77777777" w:rsidR="006B78D4" w:rsidRDefault="006B78D4">
    <w:pPr>
      <w:widowControl w:val="0"/>
      <w:pBdr>
        <w:top w:val="nil"/>
        <w:left w:val="nil"/>
        <w:bottom w:val="nil"/>
        <w:right w:val="nil"/>
        <w:between w:val="nil"/>
      </w:pBdr>
      <w:spacing w:after="0" w:line="276" w:lineRule="auto"/>
      <w:jc w:val="left"/>
      <w:rPr>
        <w:color w:val="000000"/>
      </w:rPr>
    </w:pPr>
  </w:p>
  <w:tbl>
    <w:tblPr>
      <w:tblStyle w:val="a0"/>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3686"/>
      <w:gridCol w:w="3717"/>
      <w:gridCol w:w="3371"/>
    </w:tblGrid>
    <w:tr w:rsidR="006B78D4" w14:paraId="042A8228" w14:textId="77777777">
      <w:trPr>
        <w:trHeight w:val="434"/>
      </w:trPr>
      <w:tc>
        <w:tcPr>
          <w:tcW w:w="3686" w:type="dxa"/>
          <w:vAlign w:val="center"/>
        </w:tcPr>
        <w:p w14:paraId="4B937D4F" w14:textId="77777777" w:rsidR="006B78D4" w:rsidRDefault="00783800">
          <w:pPr>
            <w:pBdr>
              <w:top w:val="nil"/>
              <w:left w:val="nil"/>
              <w:bottom w:val="nil"/>
              <w:right w:val="nil"/>
              <w:between w:val="nil"/>
            </w:pBdr>
            <w:tabs>
              <w:tab w:val="right" w:pos="9072"/>
            </w:tabs>
            <w:jc w:val="center"/>
            <w:rPr>
              <w:b/>
              <w:color w:val="000000"/>
            </w:rPr>
          </w:pPr>
          <w:r>
            <w:rPr>
              <w:b/>
              <w:color w:val="000000"/>
            </w:rPr>
            <w:t>Hazırlayan</w:t>
          </w:r>
        </w:p>
      </w:tc>
      <w:tc>
        <w:tcPr>
          <w:tcW w:w="3717" w:type="dxa"/>
          <w:vAlign w:val="center"/>
        </w:tcPr>
        <w:p w14:paraId="743B0EAC" w14:textId="77777777" w:rsidR="006B78D4" w:rsidRDefault="00783800">
          <w:pPr>
            <w:pBdr>
              <w:top w:val="nil"/>
              <w:left w:val="nil"/>
              <w:bottom w:val="nil"/>
              <w:right w:val="nil"/>
              <w:between w:val="nil"/>
            </w:pBdr>
            <w:tabs>
              <w:tab w:val="right" w:pos="9072"/>
            </w:tabs>
            <w:jc w:val="center"/>
            <w:rPr>
              <w:b/>
              <w:color w:val="000000"/>
              <w:sz w:val="16"/>
              <w:szCs w:val="16"/>
            </w:rPr>
          </w:pPr>
          <w:r>
            <w:rPr>
              <w:b/>
              <w:color w:val="000000"/>
            </w:rPr>
            <w:t>Kontrol Eden</w:t>
          </w:r>
        </w:p>
      </w:tc>
      <w:tc>
        <w:tcPr>
          <w:tcW w:w="3371" w:type="dxa"/>
          <w:vAlign w:val="center"/>
        </w:tcPr>
        <w:p w14:paraId="18AEC78F" w14:textId="77777777" w:rsidR="006B78D4" w:rsidRDefault="00783800">
          <w:pPr>
            <w:pBdr>
              <w:top w:val="nil"/>
              <w:left w:val="nil"/>
              <w:bottom w:val="nil"/>
              <w:right w:val="nil"/>
              <w:between w:val="nil"/>
            </w:pBdr>
            <w:tabs>
              <w:tab w:val="right" w:pos="9072"/>
            </w:tabs>
            <w:jc w:val="center"/>
            <w:rPr>
              <w:b/>
              <w:color w:val="000000"/>
              <w:sz w:val="16"/>
              <w:szCs w:val="16"/>
            </w:rPr>
          </w:pPr>
          <w:r>
            <w:rPr>
              <w:b/>
              <w:color w:val="000000"/>
            </w:rPr>
            <w:t>Yayın Onayı</w:t>
          </w:r>
        </w:p>
      </w:tc>
    </w:tr>
    <w:tr w:rsidR="006B78D4" w14:paraId="16ED8791" w14:textId="77777777">
      <w:trPr>
        <w:trHeight w:val="464"/>
      </w:trPr>
      <w:tc>
        <w:tcPr>
          <w:tcW w:w="3686" w:type="dxa"/>
          <w:vAlign w:val="center"/>
        </w:tcPr>
        <w:p w14:paraId="6DCFFDC3" w14:textId="77777777" w:rsidR="006B78D4" w:rsidRDefault="00783800">
          <w:pPr>
            <w:tabs>
              <w:tab w:val="right" w:pos="9072"/>
            </w:tabs>
            <w:jc w:val="center"/>
          </w:pPr>
          <w:r>
            <w:t>Sıfır Atık Komisyonu</w:t>
          </w:r>
        </w:p>
      </w:tc>
      <w:tc>
        <w:tcPr>
          <w:tcW w:w="3717" w:type="dxa"/>
          <w:vAlign w:val="center"/>
        </w:tcPr>
        <w:p w14:paraId="5F471BBF" w14:textId="79B667CC" w:rsidR="006B78D4" w:rsidRDefault="00783800">
          <w:pPr>
            <w:tabs>
              <w:tab w:val="right" w:pos="9072"/>
            </w:tabs>
            <w:jc w:val="center"/>
          </w:pPr>
          <w:r>
            <w:t>Kalite Koordinatörlüğü</w:t>
          </w:r>
        </w:p>
      </w:tc>
      <w:tc>
        <w:tcPr>
          <w:tcW w:w="3371" w:type="dxa"/>
          <w:vAlign w:val="center"/>
        </w:tcPr>
        <w:p w14:paraId="46005C9B" w14:textId="77777777" w:rsidR="006B78D4" w:rsidRDefault="00783800">
          <w:pPr>
            <w:tabs>
              <w:tab w:val="right" w:pos="9072"/>
            </w:tabs>
            <w:jc w:val="center"/>
          </w:pPr>
          <w:r>
            <w:t>Rektör Yardımcısı</w:t>
          </w:r>
        </w:p>
      </w:tc>
    </w:tr>
  </w:tbl>
  <w:p w14:paraId="317696AD" w14:textId="77777777" w:rsidR="006B78D4" w:rsidRDefault="006B78D4">
    <w:pPr>
      <w:pBdr>
        <w:top w:val="nil"/>
        <w:left w:val="nil"/>
        <w:bottom w:val="nil"/>
        <w:right w:val="nil"/>
        <w:between w:val="nil"/>
      </w:pBdr>
      <w:tabs>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2E39" w14:textId="77777777" w:rsidR="00783800" w:rsidRDefault="00783800">
      <w:pPr>
        <w:spacing w:after="0"/>
      </w:pPr>
      <w:r>
        <w:separator/>
      </w:r>
    </w:p>
  </w:footnote>
  <w:footnote w:type="continuationSeparator" w:id="0">
    <w:p w14:paraId="1D5247D8" w14:textId="77777777" w:rsidR="00783800" w:rsidRDefault="007838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5651" w14:textId="77777777" w:rsidR="006B78D4" w:rsidRDefault="006B78D4">
    <w:pPr>
      <w:widowControl w:val="0"/>
      <w:pBdr>
        <w:top w:val="nil"/>
        <w:left w:val="nil"/>
        <w:bottom w:val="nil"/>
        <w:right w:val="nil"/>
        <w:between w:val="nil"/>
      </w:pBdr>
      <w:spacing w:after="0" w:line="276" w:lineRule="auto"/>
      <w:jc w:val="left"/>
    </w:pPr>
  </w:p>
  <w:tbl>
    <w:tblPr>
      <w:tblStyle w:val="a"/>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593"/>
      <w:gridCol w:w="4792"/>
      <w:gridCol w:w="1832"/>
      <w:gridCol w:w="1557"/>
    </w:tblGrid>
    <w:tr w:rsidR="006B78D4" w14:paraId="51BA3757" w14:textId="77777777">
      <w:trPr>
        <w:trHeight w:val="157"/>
      </w:trPr>
      <w:tc>
        <w:tcPr>
          <w:tcW w:w="2593" w:type="dxa"/>
          <w:vMerge w:val="restart"/>
          <w:vAlign w:val="center"/>
        </w:tcPr>
        <w:p w14:paraId="4F7B453B" w14:textId="77777777" w:rsidR="006B78D4" w:rsidRDefault="00783800">
          <w:pPr>
            <w:pBdr>
              <w:top w:val="nil"/>
              <w:left w:val="nil"/>
              <w:bottom w:val="nil"/>
              <w:right w:val="nil"/>
              <w:between w:val="nil"/>
            </w:pBdr>
            <w:tabs>
              <w:tab w:val="right" w:pos="9072"/>
            </w:tabs>
            <w:rPr>
              <w:color w:val="000000"/>
              <w:sz w:val="32"/>
              <w:szCs w:val="32"/>
            </w:rPr>
          </w:pPr>
          <w:r>
            <w:rPr>
              <w:noProof/>
              <w:color w:val="000000"/>
            </w:rPr>
            <w:drawing>
              <wp:inline distT="0" distB="0" distL="0" distR="0" wp14:anchorId="1EBC8141" wp14:editId="40B75FED">
                <wp:extent cx="1523557" cy="638127"/>
                <wp:effectExtent l="0" t="0" r="0" b="0"/>
                <wp:docPr id="2120927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3557" cy="638127"/>
                        </a:xfrm>
                        <a:prstGeom prst="rect">
                          <a:avLst/>
                        </a:prstGeom>
                        <a:ln/>
                      </pic:spPr>
                    </pic:pic>
                  </a:graphicData>
                </a:graphic>
              </wp:inline>
            </w:drawing>
          </w:r>
        </w:p>
      </w:tc>
      <w:tc>
        <w:tcPr>
          <w:tcW w:w="4792" w:type="dxa"/>
          <w:vMerge w:val="restart"/>
          <w:vAlign w:val="center"/>
        </w:tcPr>
        <w:p w14:paraId="471BC02D" w14:textId="77777777" w:rsidR="006B78D4" w:rsidRDefault="00783800">
          <w:pPr>
            <w:pBdr>
              <w:top w:val="nil"/>
              <w:left w:val="nil"/>
              <w:bottom w:val="nil"/>
              <w:right w:val="nil"/>
              <w:between w:val="nil"/>
            </w:pBdr>
            <w:tabs>
              <w:tab w:val="right" w:pos="9072"/>
            </w:tabs>
            <w:jc w:val="center"/>
            <w:rPr>
              <w:b/>
              <w:color w:val="000000"/>
            </w:rPr>
          </w:pPr>
          <w:r>
            <w:rPr>
              <w:b/>
              <w:color w:val="000000"/>
            </w:rPr>
            <w:t>ANTALYA BELEK ÜNİVERSİTESİ</w:t>
          </w:r>
        </w:p>
        <w:p w14:paraId="0EA84CBA" w14:textId="77777777" w:rsidR="006B78D4" w:rsidRDefault="00783800">
          <w:pPr>
            <w:pBdr>
              <w:top w:val="nil"/>
              <w:left w:val="nil"/>
              <w:bottom w:val="nil"/>
              <w:right w:val="nil"/>
              <w:between w:val="nil"/>
            </w:pBdr>
            <w:tabs>
              <w:tab w:val="right" w:pos="9072"/>
            </w:tabs>
            <w:jc w:val="center"/>
            <w:rPr>
              <w:b/>
              <w:color w:val="000000"/>
            </w:rPr>
          </w:pPr>
          <w:r>
            <w:rPr>
              <w:b/>
              <w:color w:val="000000"/>
            </w:rPr>
            <w:t>KALİTE KOORDİNATÖRLÜĞÜ</w:t>
          </w:r>
        </w:p>
        <w:p w14:paraId="69942EE5" w14:textId="77777777" w:rsidR="006B78D4" w:rsidRDefault="00783800">
          <w:pPr>
            <w:pBdr>
              <w:top w:val="nil"/>
              <w:left w:val="nil"/>
              <w:bottom w:val="nil"/>
              <w:right w:val="nil"/>
              <w:between w:val="nil"/>
            </w:pBdr>
            <w:jc w:val="center"/>
            <w:rPr>
              <w:b/>
              <w:color w:val="000000"/>
            </w:rPr>
          </w:pPr>
          <w:r>
            <w:rPr>
              <w:b/>
              <w:color w:val="000000"/>
            </w:rPr>
            <w:t xml:space="preserve">SIFIR ATIK KOMİSYONU </w:t>
          </w:r>
        </w:p>
        <w:p w14:paraId="1B508584" w14:textId="512E9E3E" w:rsidR="006B78D4" w:rsidRPr="00783800" w:rsidRDefault="00783800" w:rsidP="00783800">
          <w:pPr>
            <w:pBdr>
              <w:top w:val="nil"/>
              <w:left w:val="nil"/>
              <w:bottom w:val="nil"/>
              <w:right w:val="nil"/>
              <w:between w:val="nil"/>
            </w:pBdr>
            <w:jc w:val="center"/>
            <w:rPr>
              <w:color w:val="000000"/>
            </w:rPr>
          </w:pPr>
          <w:r>
            <w:rPr>
              <w:b/>
              <w:color w:val="000000"/>
            </w:rPr>
            <w:t>KALİTE POLİTİKASI</w:t>
          </w:r>
        </w:p>
      </w:tc>
      <w:tc>
        <w:tcPr>
          <w:tcW w:w="1832" w:type="dxa"/>
        </w:tcPr>
        <w:p w14:paraId="7B1EE680"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Doküman No:</w:t>
          </w:r>
        </w:p>
      </w:tc>
      <w:tc>
        <w:tcPr>
          <w:tcW w:w="1557" w:type="dxa"/>
        </w:tcPr>
        <w:p w14:paraId="6B7DBCA0" w14:textId="44F1CCA4" w:rsidR="006B78D4" w:rsidRDefault="00783800">
          <w:pPr>
            <w:pBdr>
              <w:top w:val="nil"/>
              <w:left w:val="nil"/>
              <w:bottom w:val="nil"/>
              <w:right w:val="nil"/>
              <w:between w:val="nil"/>
            </w:pBdr>
            <w:tabs>
              <w:tab w:val="right" w:pos="9072"/>
            </w:tabs>
            <w:rPr>
              <w:color w:val="000000"/>
              <w:sz w:val="20"/>
              <w:szCs w:val="20"/>
            </w:rPr>
          </w:pPr>
          <w:r>
            <w:rPr>
              <w:sz w:val="20"/>
              <w:szCs w:val="20"/>
            </w:rPr>
            <w:t>SFR</w:t>
          </w:r>
          <w:r>
            <w:rPr>
              <w:color w:val="000000"/>
              <w:sz w:val="20"/>
              <w:szCs w:val="20"/>
            </w:rPr>
            <w:t>.YÖD.003</w:t>
          </w:r>
        </w:p>
      </w:tc>
    </w:tr>
    <w:tr w:rsidR="006B78D4" w14:paraId="46D90681" w14:textId="77777777">
      <w:trPr>
        <w:trHeight w:val="154"/>
      </w:trPr>
      <w:tc>
        <w:tcPr>
          <w:tcW w:w="2593" w:type="dxa"/>
          <w:vMerge/>
          <w:vAlign w:val="center"/>
        </w:tcPr>
        <w:p w14:paraId="6FE9F020"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4792" w:type="dxa"/>
          <w:vMerge/>
          <w:vAlign w:val="center"/>
        </w:tcPr>
        <w:p w14:paraId="7CADEE90"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1832" w:type="dxa"/>
        </w:tcPr>
        <w:p w14:paraId="37A5FCBB"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İlk Yayın Tarihi:</w:t>
          </w:r>
        </w:p>
      </w:tc>
      <w:tc>
        <w:tcPr>
          <w:tcW w:w="1557" w:type="dxa"/>
        </w:tcPr>
        <w:p w14:paraId="75DD537E"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30.04.2025</w:t>
          </w:r>
        </w:p>
      </w:tc>
    </w:tr>
    <w:tr w:rsidR="006B78D4" w14:paraId="22DFEB47" w14:textId="77777777">
      <w:trPr>
        <w:trHeight w:val="154"/>
      </w:trPr>
      <w:tc>
        <w:tcPr>
          <w:tcW w:w="2593" w:type="dxa"/>
          <w:vMerge/>
          <w:vAlign w:val="center"/>
        </w:tcPr>
        <w:p w14:paraId="0EDB54EA"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4792" w:type="dxa"/>
          <w:vMerge/>
          <w:vAlign w:val="center"/>
        </w:tcPr>
        <w:p w14:paraId="0F554484"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1832" w:type="dxa"/>
        </w:tcPr>
        <w:p w14:paraId="55323592"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Revizyon Tarihi:</w:t>
          </w:r>
        </w:p>
      </w:tc>
      <w:tc>
        <w:tcPr>
          <w:tcW w:w="1557" w:type="dxa"/>
        </w:tcPr>
        <w:p w14:paraId="023E1608"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w:t>
          </w:r>
        </w:p>
      </w:tc>
    </w:tr>
    <w:tr w:rsidR="006B78D4" w14:paraId="2BAD0DBF" w14:textId="77777777">
      <w:trPr>
        <w:trHeight w:val="154"/>
      </w:trPr>
      <w:tc>
        <w:tcPr>
          <w:tcW w:w="2593" w:type="dxa"/>
          <w:vMerge/>
          <w:vAlign w:val="center"/>
        </w:tcPr>
        <w:p w14:paraId="0351C962"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4792" w:type="dxa"/>
          <w:vMerge/>
          <w:vAlign w:val="center"/>
        </w:tcPr>
        <w:p w14:paraId="73A75CC3"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1832" w:type="dxa"/>
        </w:tcPr>
        <w:p w14:paraId="769E8C77"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Revizyon No:</w:t>
          </w:r>
        </w:p>
      </w:tc>
      <w:tc>
        <w:tcPr>
          <w:tcW w:w="1557" w:type="dxa"/>
        </w:tcPr>
        <w:p w14:paraId="3B7FAA17"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00</w:t>
          </w:r>
        </w:p>
      </w:tc>
    </w:tr>
    <w:tr w:rsidR="006B78D4" w14:paraId="08953FDC" w14:textId="77777777">
      <w:trPr>
        <w:trHeight w:val="154"/>
      </w:trPr>
      <w:tc>
        <w:tcPr>
          <w:tcW w:w="2593" w:type="dxa"/>
          <w:vMerge/>
          <w:vAlign w:val="center"/>
        </w:tcPr>
        <w:p w14:paraId="28F5269D"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4792" w:type="dxa"/>
          <w:vMerge/>
          <w:vAlign w:val="center"/>
        </w:tcPr>
        <w:p w14:paraId="5FD720C9" w14:textId="77777777" w:rsidR="006B78D4" w:rsidRDefault="006B78D4">
          <w:pPr>
            <w:widowControl w:val="0"/>
            <w:pBdr>
              <w:top w:val="nil"/>
              <w:left w:val="nil"/>
              <w:bottom w:val="nil"/>
              <w:right w:val="nil"/>
              <w:between w:val="nil"/>
            </w:pBdr>
            <w:spacing w:line="276" w:lineRule="auto"/>
            <w:jc w:val="left"/>
            <w:rPr>
              <w:color w:val="000000"/>
              <w:sz w:val="20"/>
              <w:szCs w:val="20"/>
            </w:rPr>
          </w:pPr>
        </w:p>
      </w:tc>
      <w:tc>
        <w:tcPr>
          <w:tcW w:w="1832" w:type="dxa"/>
        </w:tcPr>
        <w:p w14:paraId="5B11B15C"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t>Sayfa No:</w:t>
          </w:r>
        </w:p>
      </w:tc>
      <w:tc>
        <w:tcPr>
          <w:tcW w:w="1557" w:type="dxa"/>
        </w:tcPr>
        <w:p w14:paraId="50CDF74E" w14:textId="77777777" w:rsidR="006B78D4" w:rsidRDefault="00783800">
          <w:pPr>
            <w:pBdr>
              <w:top w:val="nil"/>
              <w:left w:val="nil"/>
              <w:bottom w:val="nil"/>
              <w:right w:val="nil"/>
              <w:between w:val="nil"/>
            </w:pBdr>
            <w:tabs>
              <w:tab w:val="right" w:pos="9072"/>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/1</w:t>
          </w:r>
        </w:p>
      </w:tc>
    </w:tr>
  </w:tbl>
  <w:p w14:paraId="60BF8A33" w14:textId="77777777" w:rsidR="006B78D4" w:rsidRDefault="006B78D4" w:rsidP="00783800">
    <w:pPr>
      <w:pBdr>
        <w:top w:val="nil"/>
        <w:left w:val="nil"/>
        <w:bottom w:val="nil"/>
        <w:right w:val="nil"/>
        <w:between w:val="nil"/>
      </w:pBdr>
      <w:tabs>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0288A"/>
    <w:multiLevelType w:val="multilevel"/>
    <w:tmpl w:val="8FAE6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37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D4"/>
    <w:rsid w:val="006B78D4"/>
    <w:rsid w:val="00783800"/>
    <w:rsid w:val="00ED1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C235"/>
  <w15:docId w15:val="{9912085F-DA62-47CD-BDE6-F9AD6186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tabs>
          <w:tab w:val="center" w:pos="4536"/>
        </w:tabs>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semiHidden/>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hAnsi="Helvetica"/>
      <w:color w:val="01154D"/>
      <w:sz w:val="17"/>
      <w:szCs w:val="17"/>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BD3489"/>
    <w:pPr>
      <w:tabs>
        <w:tab w:val="clear" w:pos="4536"/>
      </w:tabs>
      <w:spacing w:after="100"/>
    </w:pPr>
  </w:style>
  <w:style w:type="paragraph" w:styleId="AralkYok">
    <w:name w:val="No Spacing"/>
    <w:uiPriority w:val="1"/>
    <w:qFormat/>
    <w:rsid w:val="00363761"/>
    <w:pPr>
      <w:spacing w:after="0"/>
    </w:pPr>
  </w:style>
  <w:style w:type="paragraph" w:customStyle="1" w:styleId="Default">
    <w:name w:val="Default"/>
    <w:rsid w:val="00363761"/>
    <w:pPr>
      <w:autoSpaceDE w:val="0"/>
      <w:autoSpaceDN w:val="0"/>
      <w:adjustRightInd w:val="0"/>
      <w:spacing w:after="0"/>
    </w:pPr>
    <w:rPr>
      <w:color w:val="000000"/>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pPr>
    <w:tblPr>
      <w:tblStyleRowBandSize w:val="1"/>
      <w:tblStyleColBandSize w:val="1"/>
    </w:tblPr>
  </w:style>
  <w:style w:type="table" w:customStyle="1" w:styleId="a0">
    <w:basedOn w:val="NormalTablo"/>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mhBEED97nD8n0FK2MRnyJOlqw==">CgMxLjA4AHIhMWYyVDdEM2RGbEIyNmV0THRENm5OQ24yRmpPLUhnQVJR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dcterms:created xsi:type="dcterms:W3CDTF">2025-05-28T08:34:00Z</dcterms:created>
  <dcterms:modified xsi:type="dcterms:W3CDTF">2025-08-11T08:07:00Z</dcterms:modified>
</cp:coreProperties>
</file>