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B1AA" w14:textId="1F7F3F85" w:rsidR="00112390" w:rsidRPr="00C75F9A" w:rsidRDefault="00112390" w:rsidP="009D5157">
      <w:pPr>
        <w:pStyle w:val="ListeParagraf"/>
        <w:widowControl w:val="0"/>
        <w:numPr>
          <w:ilvl w:val="0"/>
          <w:numId w:val="2"/>
        </w:numPr>
        <w:tabs>
          <w:tab w:val="clear" w:pos="4536"/>
          <w:tab w:val="left" w:pos="421"/>
        </w:tabs>
        <w:autoSpaceDE w:val="0"/>
        <w:autoSpaceDN w:val="0"/>
        <w:spacing w:after="120" w:line="360" w:lineRule="auto"/>
        <w:ind w:left="421" w:hanging="281"/>
        <w:contextualSpacing w:val="0"/>
        <w:rPr>
          <w:b/>
          <w:color w:val="C0504D" w:themeColor="accent2"/>
        </w:rPr>
      </w:pPr>
      <w:r w:rsidRPr="00C75F9A">
        <w:rPr>
          <w:b/>
          <w:color w:val="C0504D" w:themeColor="accent2"/>
          <w:spacing w:val="-4"/>
        </w:rPr>
        <w:t>AMAÇ</w:t>
      </w:r>
    </w:p>
    <w:p w14:paraId="58640A8F" w14:textId="69C33D00" w:rsidR="00C75F9A" w:rsidRPr="00C75F9A" w:rsidRDefault="00C75F9A" w:rsidP="00D67BF9">
      <w:pPr>
        <w:widowControl w:val="0"/>
        <w:tabs>
          <w:tab w:val="clear" w:pos="4536"/>
          <w:tab w:val="left" w:pos="421"/>
        </w:tabs>
        <w:autoSpaceDE w:val="0"/>
        <w:autoSpaceDN w:val="0"/>
        <w:spacing w:before="120" w:after="120" w:line="360" w:lineRule="auto"/>
        <w:ind w:left="140"/>
        <w:rPr>
          <w:b/>
          <w:color w:val="C0504D" w:themeColor="accent2"/>
        </w:rPr>
      </w:pPr>
      <w:r w:rsidRPr="00C75F9A">
        <w:t xml:space="preserve">Bu prosedürün amacı, Antalya Belek Üniversitesi </w:t>
      </w:r>
      <w:r w:rsidR="005A4328">
        <w:t xml:space="preserve">Uluslararası Ticaret ve İşletmecilik </w:t>
      </w:r>
      <w:r w:rsidR="005A4328" w:rsidRPr="00C75F9A">
        <w:t>Bölümü</w:t>
      </w:r>
      <w:r w:rsidRPr="00C75F9A">
        <w:t xml:space="preserve"> öğrencilerinin ders kayıt işlemlerinin, üniversite akademik takvimine, ilgili mevzuat ve yönergelerine uygun olarak sistematik ve etkin bir biçimde yürütülmesini sağlamak, kayıt sürecinde görev ve sorumlulukların belirlenmesini sağlamaktır.</w:t>
      </w:r>
    </w:p>
    <w:p w14:paraId="34C063DB" w14:textId="4C2A12AC" w:rsidR="00112390" w:rsidRPr="00C75F9A" w:rsidRDefault="00112390" w:rsidP="009D5157">
      <w:pPr>
        <w:pStyle w:val="Balk1"/>
        <w:numPr>
          <w:ilvl w:val="0"/>
          <w:numId w:val="2"/>
        </w:numPr>
        <w:tabs>
          <w:tab w:val="left" w:pos="421"/>
        </w:tabs>
        <w:spacing w:before="120" w:after="120" w:line="360" w:lineRule="auto"/>
        <w:ind w:left="421" w:hanging="281"/>
        <w:rPr>
          <w:color w:val="C0504D" w:themeColor="accent2"/>
          <w:spacing w:val="-2"/>
        </w:rPr>
      </w:pPr>
      <w:r w:rsidRPr="00C75F9A">
        <w:rPr>
          <w:color w:val="C0504D" w:themeColor="accent2"/>
          <w:spacing w:val="-2"/>
        </w:rPr>
        <w:t>KAPSAM</w:t>
      </w:r>
    </w:p>
    <w:p w14:paraId="0FB63D35" w14:textId="426B5491" w:rsidR="00112390" w:rsidRPr="00C75F9A" w:rsidRDefault="00C75F9A" w:rsidP="00D67BF9">
      <w:pPr>
        <w:pStyle w:val="GvdeMetni"/>
        <w:spacing w:before="120" w:line="360" w:lineRule="auto"/>
        <w:ind w:left="170"/>
        <w:jc w:val="both"/>
        <w:rPr>
          <w:rFonts w:ascii="Times New Roman" w:hAnsi="Times New Roman" w:cs="Times New Roman"/>
          <w:sz w:val="24"/>
          <w:szCs w:val="24"/>
        </w:rPr>
      </w:pPr>
      <w:r w:rsidRPr="00C75F9A">
        <w:rPr>
          <w:rFonts w:ascii="Times New Roman" w:hAnsi="Times New Roman" w:cs="Times New Roman"/>
          <w:sz w:val="24"/>
          <w:szCs w:val="24"/>
        </w:rPr>
        <w:t xml:space="preserve">Bu prosedür, Antalya Belek Üniversitesi </w:t>
      </w:r>
      <w:r w:rsidR="005A4328">
        <w:rPr>
          <w:rFonts w:ascii="Times New Roman" w:hAnsi="Times New Roman" w:cs="Times New Roman"/>
          <w:sz w:val="24"/>
          <w:szCs w:val="24"/>
        </w:rPr>
        <w:t xml:space="preserve">Uluslararası Ticaret ve İşletmecilik </w:t>
      </w:r>
      <w:r w:rsidR="005A4328" w:rsidRPr="00C75F9A">
        <w:rPr>
          <w:rFonts w:ascii="Times New Roman" w:hAnsi="Times New Roman" w:cs="Times New Roman"/>
          <w:sz w:val="24"/>
          <w:szCs w:val="24"/>
        </w:rPr>
        <w:t>Bölümü’ne</w:t>
      </w:r>
      <w:r w:rsidRPr="00C75F9A">
        <w:rPr>
          <w:rFonts w:ascii="Times New Roman" w:hAnsi="Times New Roman" w:cs="Times New Roman"/>
          <w:sz w:val="24"/>
          <w:szCs w:val="24"/>
        </w:rPr>
        <w:t xml:space="preserve"> kayıtlı tüm lisans ve lisansüstü öğrencilerinin her akademik dönemde yaptıkları ders kayıt, ders ekleme, ders bırakma ve kayıt yenileme işlemlerini kapsar. Ayrıca ilgili akademik ve idari birimlerin ders kayıt sürecindeki sorumluluklarını içerir.</w:t>
      </w:r>
    </w:p>
    <w:p w14:paraId="5D56E52E" w14:textId="77777777" w:rsidR="00112390" w:rsidRDefault="00112390" w:rsidP="009D5157">
      <w:pPr>
        <w:pStyle w:val="Balk1"/>
        <w:numPr>
          <w:ilvl w:val="0"/>
          <w:numId w:val="2"/>
        </w:numPr>
        <w:tabs>
          <w:tab w:val="left" w:pos="421"/>
        </w:tabs>
        <w:spacing w:before="120" w:after="120" w:line="360" w:lineRule="auto"/>
        <w:ind w:left="421" w:hanging="281"/>
        <w:rPr>
          <w:color w:val="C0504D" w:themeColor="accent2"/>
          <w:spacing w:val="-2"/>
        </w:rPr>
      </w:pPr>
      <w:r w:rsidRPr="00C75F9A">
        <w:rPr>
          <w:color w:val="C0504D" w:themeColor="accent2"/>
          <w:spacing w:val="-2"/>
        </w:rPr>
        <w:t>SORUMLULUKLAR</w:t>
      </w:r>
    </w:p>
    <w:p w14:paraId="0C654111" w14:textId="46A45412" w:rsidR="00C75F9A" w:rsidRPr="00F371D5" w:rsidRDefault="00C75F9A" w:rsidP="00F371D5">
      <w:pPr>
        <w:tabs>
          <w:tab w:val="clear" w:pos="4536"/>
        </w:tabs>
        <w:spacing w:before="120" w:after="0" w:line="360" w:lineRule="auto"/>
        <w:ind w:left="170"/>
        <w:rPr>
          <w:rFonts w:eastAsia="Times New Roman"/>
          <w:lang w:eastAsia="tr-TR"/>
        </w:rPr>
      </w:pPr>
      <w:r w:rsidRPr="00C75F9A">
        <w:rPr>
          <w:rFonts w:eastAsia="Times New Roman"/>
          <w:lang w:eastAsia="tr-TR"/>
        </w:rPr>
        <w:t>Öğrenci İşleri Daire Başkanlığı; ders kayıt işlemlerinin akademik takvime uygun olarak yürütülmesini sağlamak, kayıt sisteminin güncel ve doğru çalışmasını temin eder. Öğrencilerin ders kayıt bilgilerini sistemde takip etmek ve kayıtla ilgili sorunların çözümüne destek verir.</w:t>
      </w:r>
      <w:r>
        <w:rPr>
          <w:rFonts w:eastAsia="Times New Roman"/>
          <w:lang w:eastAsia="tr-TR"/>
        </w:rPr>
        <w:t xml:space="preserve"> </w:t>
      </w:r>
      <w:r w:rsidR="005A4328">
        <w:rPr>
          <w:rFonts w:eastAsia="Times New Roman"/>
          <w:lang w:eastAsia="tr-TR"/>
        </w:rPr>
        <w:t xml:space="preserve">Uluslararası Ticaret ve İşletmecilik </w:t>
      </w:r>
      <w:r w:rsidR="005A4328" w:rsidRPr="00C75F9A">
        <w:rPr>
          <w:rFonts w:eastAsia="Times New Roman"/>
          <w:lang w:eastAsia="tr-TR"/>
        </w:rPr>
        <w:t>Bölüm</w:t>
      </w:r>
      <w:r w:rsidRPr="00C75F9A">
        <w:rPr>
          <w:rFonts w:eastAsia="Times New Roman"/>
          <w:lang w:eastAsia="tr-TR"/>
        </w:rPr>
        <w:t xml:space="preserve"> Başkanlığı; ders programlarının hazırlanması ve onaylanmasında görev almak, ders kayıtları ile ilgili bölüm içi koordinasyonu sağlar. Ders kayıt süreciyle ilgili öğrencilere rehberlik yapmak ve kayıt sorunlarının çözümüne katkıda bulunur. Akademik Danışmanlar; öğrencilerin ders seçimi ve kayıt süreçlerinde akademik danışmanlık yapar. Öğrencilerin kayıt işlemlerinin uygunluğu ve program akışına uygunluğunu kontrol eder. Öğrenciler; ders kayıtlarını akademik takvim doğrultusunda eksiksiz ve zamanında yapar. Ders seçiminde akademik danışmanlarının öneri ve uyarılarına uyar. Fakülte Sekreterliği;</w:t>
      </w:r>
      <w:r>
        <w:rPr>
          <w:rFonts w:eastAsia="Times New Roman"/>
          <w:lang w:eastAsia="tr-TR"/>
        </w:rPr>
        <w:t xml:space="preserve"> d</w:t>
      </w:r>
      <w:r w:rsidRPr="00C75F9A">
        <w:rPr>
          <w:rFonts w:eastAsia="Times New Roman"/>
          <w:lang w:eastAsia="tr-TR"/>
        </w:rPr>
        <w:t>ers kayıt süreçlerine ilişkin evrak ve belge akışını sağla</w:t>
      </w:r>
      <w:r>
        <w:rPr>
          <w:rFonts w:eastAsia="Times New Roman"/>
          <w:lang w:eastAsia="tr-TR"/>
        </w:rPr>
        <w:t xml:space="preserve">r. </w:t>
      </w:r>
      <w:r w:rsidRPr="00C75F9A">
        <w:rPr>
          <w:rFonts w:eastAsia="Times New Roman"/>
          <w:lang w:eastAsia="tr-TR"/>
        </w:rPr>
        <w:t>Öğrenci işleri ve bölüm arasında koordinasyonu sağla</w:t>
      </w:r>
      <w:r>
        <w:rPr>
          <w:rFonts w:eastAsia="Times New Roman"/>
          <w:lang w:eastAsia="tr-TR"/>
        </w:rPr>
        <w:t>r.</w:t>
      </w:r>
    </w:p>
    <w:p w14:paraId="2A690134" w14:textId="322CAF24" w:rsidR="0032341F" w:rsidRDefault="0032341F" w:rsidP="009D5157">
      <w:pPr>
        <w:pStyle w:val="ListeParagraf"/>
        <w:numPr>
          <w:ilvl w:val="0"/>
          <w:numId w:val="2"/>
        </w:numPr>
        <w:tabs>
          <w:tab w:val="clear" w:pos="4536"/>
        </w:tabs>
        <w:spacing w:before="120" w:after="0" w:line="360" w:lineRule="auto"/>
        <w:outlineLvl w:val="2"/>
        <w:rPr>
          <w:b/>
          <w:bCs/>
          <w:color w:val="C0504D" w:themeColor="accent2"/>
          <w:spacing w:val="-2"/>
        </w:rPr>
      </w:pPr>
      <w:r w:rsidRPr="00C75F9A">
        <w:rPr>
          <w:b/>
          <w:bCs/>
          <w:color w:val="C0504D" w:themeColor="accent2"/>
          <w:spacing w:val="-2"/>
        </w:rPr>
        <w:t>UYGULAMA</w:t>
      </w:r>
    </w:p>
    <w:p w14:paraId="45B6257D" w14:textId="739C777E"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Ders kayıtları, üniversitenin belirlediği akademik takvime uygun olarak ilan edilir.</w:t>
      </w:r>
    </w:p>
    <w:p w14:paraId="782C5DF5" w14:textId="54A907C8"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Öğrenciler, kayıt döneminde öğrenci bilgi sistemi (OBS) üzerinden ders kayıt işlemlerini gerçekleştirir.</w:t>
      </w:r>
    </w:p>
    <w:p w14:paraId="5D47B1EE" w14:textId="1CA72E54"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Akademik danışmanlar, öğrencilerin ders seçimlerini kontrol eder ve gerekli durumlarda yönlendirme yapar.</w:t>
      </w:r>
    </w:p>
    <w:p w14:paraId="6938E94A" w14:textId="7A835D82"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lastRenderedPageBreak/>
        <w:t>Kayıt işlemleri sırasında eksik veya hatalı belge veya bilgi varsa, ilgili birimler tarafından öğrenciye bildirim yapılır</w:t>
      </w:r>
    </w:p>
    <w:p w14:paraId="7C33E916" w14:textId="2577E71C"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Ders ekleme, bırakma ve değişiklik işlemleri akademik takvime göre belirlenen süreler içinde yapılır.</w:t>
      </w:r>
    </w:p>
    <w:p w14:paraId="0A95F6E9" w14:textId="03E9EF5F"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Ders kayıtlarının tamamlanmasının ardından, ilgili birimler kayıtların doğruluğunu kontrol eder ve onaylar.</w:t>
      </w:r>
    </w:p>
    <w:p w14:paraId="1EEE6EC3" w14:textId="4090CCF4"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Kayıt işlemleriyle ilgili yaşanan sorunlar, Öğrenci İşleri Daire Başkanlığı ve bölüm koordinatörlüğü tarafından çözülür.</w:t>
      </w:r>
    </w:p>
    <w:p w14:paraId="16193FD7" w14:textId="0E138463"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Öğrenci kaydı tamamlandıktan sonra kayıt onayı öğrenci bilgi sisteminde güncellenir ve öğrenciye bildirilir.</w:t>
      </w:r>
    </w:p>
    <w:p w14:paraId="0FB9E9D7" w14:textId="61B2DA91" w:rsidR="00F371D5" w:rsidRPr="00F371D5" w:rsidRDefault="00F371D5" w:rsidP="009D5157">
      <w:pPr>
        <w:pStyle w:val="ListeParagraf"/>
        <w:numPr>
          <w:ilvl w:val="0"/>
          <w:numId w:val="3"/>
        </w:numPr>
        <w:tabs>
          <w:tab w:val="clear" w:pos="4536"/>
        </w:tabs>
        <w:spacing w:before="120" w:after="0" w:line="360" w:lineRule="auto"/>
        <w:ind w:left="530"/>
        <w:outlineLvl w:val="2"/>
        <w:rPr>
          <w:spacing w:val="-2"/>
        </w:rPr>
      </w:pPr>
      <w:r w:rsidRPr="00F371D5">
        <w:rPr>
          <w:spacing w:val="-2"/>
        </w:rPr>
        <w:t>Prosedüre ilişkin kayıt ve belgeler, ilgili birimlerde arşivlenir ve gerektiğinde denetime hazır tutulur.</w:t>
      </w:r>
    </w:p>
    <w:p w14:paraId="545C8BD4" w14:textId="7D6D3873" w:rsidR="00D67BF9" w:rsidRPr="00D67BF9" w:rsidRDefault="0032341F" w:rsidP="009D5157">
      <w:pPr>
        <w:pStyle w:val="ListeParagraf"/>
        <w:numPr>
          <w:ilvl w:val="0"/>
          <w:numId w:val="2"/>
        </w:numPr>
        <w:tabs>
          <w:tab w:val="clear" w:pos="4536"/>
        </w:tabs>
        <w:spacing w:before="100" w:beforeAutospacing="1" w:after="120" w:line="360" w:lineRule="auto"/>
        <w:outlineLvl w:val="2"/>
        <w:rPr>
          <w:b/>
          <w:bCs/>
          <w:color w:val="C0504D" w:themeColor="accent2"/>
          <w:spacing w:val="-2"/>
        </w:rPr>
      </w:pPr>
      <w:r w:rsidRPr="00D67BF9">
        <w:rPr>
          <w:b/>
          <w:bCs/>
          <w:color w:val="C0504D" w:themeColor="accent2"/>
          <w:spacing w:val="-2"/>
        </w:rPr>
        <w:t>İLGİLİ DOKÜMANLAR</w:t>
      </w:r>
      <w:r w:rsidR="005953F1" w:rsidRPr="00D67BF9">
        <w:rPr>
          <w:b/>
          <w:bCs/>
          <w:color w:val="C0504D" w:themeColor="accent2"/>
          <w:spacing w:val="-2"/>
        </w:rPr>
        <w:t xml:space="preserve"> </w:t>
      </w:r>
    </w:p>
    <w:p w14:paraId="065693A5" w14:textId="584E7147"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2547 Sayılı Yükseköğretim Kanunu</w:t>
      </w:r>
    </w:p>
    <w:p w14:paraId="426AC26F" w14:textId="09717ECE"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Antalya Belek Üniversitesi Akademik Takvimi</w:t>
      </w:r>
    </w:p>
    <w:p w14:paraId="14B1FD96" w14:textId="2F883F4D"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Öğrenci Kayıt ve Kabul Yönetmeliği</w:t>
      </w:r>
    </w:p>
    <w:p w14:paraId="0B5A0E21" w14:textId="3CED4B2E"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Ders Kayıt ve Kayıt Yenileme Yönergesi</w:t>
      </w:r>
    </w:p>
    <w:p w14:paraId="18DCC907" w14:textId="10BBCBF1"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Öğrenci Bilgi Sistemi (OBS) Kullanım Kılavuzu</w:t>
      </w:r>
    </w:p>
    <w:p w14:paraId="6918DE7E" w14:textId="5CC84EFB" w:rsidR="00D67BF9" w:rsidRPr="00D67BF9" w:rsidRDefault="005A4328" w:rsidP="009D5157">
      <w:pPr>
        <w:pStyle w:val="ListeParagraf"/>
        <w:numPr>
          <w:ilvl w:val="0"/>
          <w:numId w:val="4"/>
        </w:numPr>
        <w:spacing w:before="120" w:after="120" w:line="360" w:lineRule="auto"/>
        <w:ind w:left="530"/>
        <w:rPr>
          <w:rFonts w:eastAsia="Times New Roman"/>
          <w:lang w:eastAsia="tr-TR"/>
        </w:rPr>
      </w:pPr>
      <w:r>
        <w:rPr>
          <w:rFonts w:eastAsia="Times New Roman"/>
          <w:lang w:eastAsia="tr-TR"/>
        </w:rPr>
        <w:t xml:space="preserve">Uluslararası Ticaret ve </w:t>
      </w:r>
      <w:proofErr w:type="gramStart"/>
      <w:r>
        <w:rPr>
          <w:rFonts w:eastAsia="Times New Roman"/>
          <w:lang w:eastAsia="tr-TR"/>
        </w:rPr>
        <w:t xml:space="preserve">İşletmecilik </w:t>
      </w:r>
      <w:r w:rsidR="00D67BF9" w:rsidRPr="00D67BF9">
        <w:rPr>
          <w:rFonts w:eastAsia="Times New Roman"/>
          <w:lang w:eastAsia="tr-TR"/>
        </w:rPr>
        <w:t xml:space="preserve"> Bölümü</w:t>
      </w:r>
      <w:proofErr w:type="gramEnd"/>
      <w:r w:rsidR="00D67BF9" w:rsidRPr="00D67BF9">
        <w:rPr>
          <w:rFonts w:eastAsia="Times New Roman"/>
          <w:lang w:eastAsia="tr-TR"/>
        </w:rPr>
        <w:t xml:space="preserve"> Eğitim Programı</w:t>
      </w:r>
    </w:p>
    <w:p w14:paraId="7A1C7684" w14:textId="5CEBF205"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Üniversite İç Yönetmelikleri ve Prosedürleri</w:t>
      </w:r>
    </w:p>
    <w:p w14:paraId="30FB91A0" w14:textId="631C9DAF" w:rsidR="00D67BF9" w:rsidRPr="00D67BF9" w:rsidRDefault="00D67BF9" w:rsidP="009D5157">
      <w:pPr>
        <w:pStyle w:val="ListeParagraf"/>
        <w:numPr>
          <w:ilvl w:val="0"/>
          <w:numId w:val="4"/>
        </w:numPr>
        <w:spacing w:before="120" w:after="120" w:line="360" w:lineRule="auto"/>
        <w:ind w:left="530"/>
        <w:rPr>
          <w:rFonts w:eastAsia="Times New Roman"/>
          <w:lang w:eastAsia="tr-TR"/>
        </w:rPr>
      </w:pPr>
      <w:r w:rsidRPr="00D67BF9">
        <w:rPr>
          <w:rFonts w:eastAsia="Times New Roman"/>
          <w:lang w:eastAsia="tr-TR"/>
        </w:rPr>
        <w:t>Kalite Yönetim Sistemi Dokümanları</w:t>
      </w:r>
    </w:p>
    <w:p w14:paraId="747B4523" w14:textId="18AB7FE8" w:rsidR="0044067B" w:rsidRPr="00C75F9A" w:rsidRDefault="0044067B" w:rsidP="00D67BF9">
      <w:pPr>
        <w:pStyle w:val="ListeParagraf"/>
        <w:tabs>
          <w:tab w:val="clear" w:pos="4536"/>
        </w:tabs>
        <w:spacing w:after="120" w:line="360" w:lineRule="auto"/>
        <w:ind w:left="643"/>
        <w:jc w:val="left"/>
        <w:rPr>
          <w:rFonts w:eastAsia="Times New Roman"/>
          <w:lang w:eastAsia="tr-TR"/>
        </w:rPr>
      </w:pPr>
    </w:p>
    <w:sectPr w:rsidR="0044067B" w:rsidRPr="00C75F9A"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9097" w14:textId="77777777" w:rsidR="0036715D" w:rsidRDefault="0036715D" w:rsidP="003A6F6D">
      <w:r>
        <w:separator/>
      </w:r>
    </w:p>
  </w:endnote>
  <w:endnote w:type="continuationSeparator" w:id="0">
    <w:p w14:paraId="63C8AB96" w14:textId="77777777" w:rsidR="0036715D" w:rsidRDefault="0036715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55DF7CAB" w:rsidR="00FA108B" w:rsidRPr="00FA108B" w:rsidRDefault="009D5157" w:rsidP="003A6F6D">
          <w:pPr>
            <w:pStyle w:val="AltBilgi"/>
            <w:jc w:val="center"/>
          </w:pPr>
          <w:r>
            <w:t xml:space="preserve">Uluslararası Ticaret ve İşletmecilik </w:t>
          </w:r>
          <w:r w:rsidRPr="000A0A9E">
            <w:t>Bölüm Başkanlığı</w:t>
          </w:r>
        </w:p>
      </w:tc>
      <w:tc>
        <w:tcPr>
          <w:tcW w:w="3717" w:type="dxa"/>
          <w:vAlign w:val="center"/>
        </w:tcPr>
        <w:p w14:paraId="1146F847" w14:textId="1B87525E" w:rsidR="00FA108B" w:rsidRPr="00514ECE" w:rsidRDefault="009D5157" w:rsidP="003A6F6D">
          <w:pPr>
            <w:pStyle w:val="AltBilgi"/>
            <w:jc w:val="center"/>
          </w:pPr>
          <w:r w:rsidRPr="007B7090">
            <w:t>Kalite Koordinatör</w:t>
          </w:r>
          <w:r>
            <w:t>lüğü</w:t>
          </w:r>
        </w:p>
      </w:tc>
      <w:tc>
        <w:tcPr>
          <w:tcW w:w="3371" w:type="dxa"/>
          <w:vAlign w:val="center"/>
        </w:tcPr>
        <w:p w14:paraId="6AAF7A5B" w14:textId="7829874F" w:rsidR="00FA108B" w:rsidRPr="00514ECE" w:rsidRDefault="009D5157"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D569" w14:textId="77777777" w:rsidR="0036715D" w:rsidRDefault="0036715D" w:rsidP="003A6F6D">
      <w:r>
        <w:separator/>
      </w:r>
    </w:p>
  </w:footnote>
  <w:footnote w:type="continuationSeparator" w:id="0">
    <w:p w14:paraId="3B45DD7E" w14:textId="77777777" w:rsidR="0036715D" w:rsidRDefault="0036715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Default="0050672E" w:rsidP="003A6F6D">
          <w:pPr>
            <w:pStyle w:val="stBilgi"/>
            <w:jc w:val="center"/>
            <w:rPr>
              <w:b/>
              <w:bCs/>
            </w:rPr>
          </w:pPr>
          <w:r w:rsidRPr="00485BF0">
            <w:rPr>
              <w:b/>
              <w:bCs/>
            </w:rPr>
            <w:t>ANTALYA BELEK ÜNİVERSİTESİ</w:t>
          </w:r>
        </w:p>
        <w:p w14:paraId="3DAF5D83" w14:textId="19651BD9" w:rsidR="004D376E" w:rsidRPr="004D376E" w:rsidRDefault="004D376E" w:rsidP="004D376E">
          <w:pPr>
            <w:pStyle w:val="stBilgi"/>
            <w:jc w:val="center"/>
            <w:rPr>
              <w:b/>
              <w:bCs/>
            </w:rPr>
          </w:pPr>
          <w:r w:rsidRPr="004D376E">
            <w:rPr>
              <w:b/>
              <w:bCs/>
            </w:rPr>
            <w:t>İKTİSADİ VE İDARİ BİLİMLER FAKÜLTESİ</w:t>
          </w:r>
          <w:r>
            <w:rPr>
              <w:b/>
              <w:bCs/>
            </w:rPr>
            <w:t xml:space="preserve"> </w:t>
          </w:r>
          <w:r w:rsidR="005A4328">
            <w:rPr>
              <w:b/>
              <w:bCs/>
              <w:lang w:val="en-US"/>
            </w:rPr>
            <w:t>ULUSLARARASI TİCARET VE İŞLETMECİLİK BÖLÜMÜ</w:t>
          </w:r>
        </w:p>
        <w:p w14:paraId="4EB304DA" w14:textId="293B5ECA" w:rsidR="00112390" w:rsidRPr="003A6F6D" w:rsidRDefault="00D113C3" w:rsidP="00A978E4">
          <w:pPr>
            <w:pStyle w:val="stBilgi"/>
            <w:jc w:val="center"/>
            <w:rPr>
              <w:b/>
              <w:bCs/>
            </w:rPr>
          </w:pPr>
          <w:r w:rsidRPr="00D113C3">
            <w:rPr>
              <w:b/>
              <w:bCs/>
            </w:rPr>
            <w:t xml:space="preserve">DERS KAYIT </w:t>
          </w:r>
          <w:r w:rsidR="0079029A" w:rsidRPr="0079029A">
            <w:rPr>
              <w:b/>
              <w:bCs/>
            </w:rPr>
            <w:t>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6FE8A63F" w:rsidR="00384F51" w:rsidRPr="00112390" w:rsidRDefault="005A4328" w:rsidP="003A6F6D">
          <w:pPr>
            <w:pStyle w:val="stBilgi"/>
            <w:rPr>
              <w:sz w:val="20"/>
              <w:szCs w:val="20"/>
            </w:rPr>
          </w:pPr>
          <w:r>
            <w:rPr>
              <w:sz w:val="20"/>
              <w:szCs w:val="20"/>
            </w:rPr>
            <w:t>UTI.</w:t>
          </w:r>
          <w:r w:rsidR="00112390">
            <w:rPr>
              <w:sz w:val="20"/>
              <w:szCs w:val="20"/>
            </w:rPr>
            <w:t>PRD.00</w:t>
          </w:r>
          <w:r w:rsidR="00D113C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1050AA4D" w:rsidR="00384F51" w:rsidRPr="00112390" w:rsidRDefault="00C75F9A" w:rsidP="003A6F6D">
          <w:pPr>
            <w:pStyle w:val="stBilgi"/>
            <w:rPr>
              <w:sz w:val="20"/>
              <w:szCs w:val="20"/>
            </w:rPr>
          </w:pPr>
          <w:r>
            <w:rPr>
              <w:sz w:val="20"/>
              <w:szCs w:val="20"/>
            </w:rPr>
            <w:t>2</w:t>
          </w:r>
          <w:r w:rsidR="004D376E">
            <w:rPr>
              <w:sz w:val="20"/>
              <w:szCs w:val="20"/>
            </w:rPr>
            <w:t>5</w:t>
          </w:r>
          <w:r w:rsidR="00112390">
            <w:rPr>
              <w:sz w:val="20"/>
              <w:szCs w:val="20"/>
            </w:rPr>
            <w:t>.0</w:t>
          </w:r>
          <w:r w:rsidR="0079029A">
            <w:rPr>
              <w:sz w:val="20"/>
              <w:szCs w:val="20"/>
            </w:rPr>
            <w:t>5</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74279DD1" w:rsidR="00384F51" w:rsidRPr="00112390" w:rsidRDefault="003F241E" w:rsidP="003A6F6D">
          <w:pPr>
            <w:pStyle w:val="stBilgi"/>
            <w:rPr>
              <w:sz w:val="20"/>
              <w:szCs w:val="20"/>
            </w:rPr>
          </w:pPr>
          <w:r w:rsidRPr="008627B3">
            <w:rPr>
              <w:sz w:val="20"/>
              <w:szCs w:val="20"/>
            </w:rPr>
            <w:fldChar w:fldCharType="begin"/>
          </w:r>
          <w:r w:rsidRPr="008627B3">
            <w:rPr>
              <w:sz w:val="20"/>
              <w:szCs w:val="20"/>
            </w:rPr>
            <w:instrText>PAGE   \* MERGEFORMAT</w:instrText>
          </w:r>
          <w:r w:rsidRPr="008627B3">
            <w:rPr>
              <w:sz w:val="20"/>
              <w:szCs w:val="20"/>
            </w:rPr>
            <w:fldChar w:fldCharType="separate"/>
          </w:r>
          <w:r w:rsidRPr="008627B3">
            <w:rPr>
              <w:sz w:val="20"/>
              <w:szCs w:val="20"/>
            </w:rPr>
            <w:t>1</w:t>
          </w:r>
          <w:r w:rsidRPr="008627B3">
            <w:rPr>
              <w:sz w:val="20"/>
              <w:szCs w:val="20"/>
            </w:rPr>
            <w:fldChar w:fldCharType="end"/>
          </w:r>
          <w:r w:rsidRPr="008627B3">
            <w:rPr>
              <w:sz w:val="20"/>
              <w:szCs w:val="20"/>
            </w:rPr>
            <w:t>/</w:t>
          </w:r>
          <w:r w:rsidR="00C75F9A">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46626"/>
    <w:multiLevelType w:val="hybridMultilevel"/>
    <w:tmpl w:val="1CA434BC"/>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2"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3" w15:restartNumberingAfterBreak="0">
    <w:nsid w:val="70A247A7"/>
    <w:multiLevelType w:val="hybridMultilevel"/>
    <w:tmpl w:val="E2C66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1393431183">
    <w:abstractNumId w:val="2"/>
  </w:num>
  <w:num w:numId="3" w16cid:durableId="1888057933">
    <w:abstractNumId w:val="1"/>
  </w:num>
  <w:num w:numId="4" w16cid:durableId="917534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74B20"/>
    <w:rsid w:val="00095836"/>
    <w:rsid w:val="00096D24"/>
    <w:rsid w:val="000A0A9E"/>
    <w:rsid w:val="000B276C"/>
    <w:rsid w:val="000B40C9"/>
    <w:rsid w:val="000C21CB"/>
    <w:rsid w:val="000C2595"/>
    <w:rsid w:val="000C65BC"/>
    <w:rsid w:val="0010144F"/>
    <w:rsid w:val="00111FB2"/>
    <w:rsid w:val="00112390"/>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056C1"/>
    <w:rsid w:val="00225877"/>
    <w:rsid w:val="00226363"/>
    <w:rsid w:val="00235C6E"/>
    <w:rsid w:val="00235F39"/>
    <w:rsid w:val="00245B9E"/>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341F"/>
    <w:rsid w:val="00326596"/>
    <w:rsid w:val="00337313"/>
    <w:rsid w:val="0034727A"/>
    <w:rsid w:val="0036715D"/>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067B"/>
    <w:rsid w:val="004411E4"/>
    <w:rsid w:val="00445009"/>
    <w:rsid w:val="004636D6"/>
    <w:rsid w:val="004657C6"/>
    <w:rsid w:val="00467773"/>
    <w:rsid w:val="004742ED"/>
    <w:rsid w:val="00485BF0"/>
    <w:rsid w:val="00487ECD"/>
    <w:rsid w:val="00495A30"/>
    <w:rsid w:val="004A2708"/>
    <w:rsid w:val="004B772A"/>
    <w:rsid w:val="004C198C"/>
    <w:rsid w:val="004D376E"/>
    <w:rsid w:val="004E482C"/>
    <w:rsid w:val="004F0D52"/>
    <w:rsid w:val="0050672E"/>
    <w:rsid w:val="00506FD1"/>
    <w:rsid w:val="00514ECE"/>
    <w:rsid w:val="005155F8"/>
    <w:rsid w:val="00540D56"/>
    <w:rsid w:val="00552EED"/>
    <w:rsid w:val="005552BF"/>
    <w:rsid w:val="00564900"/>
    <w:rsid w:val="00564ADD"/>
    <w:rsid w:val="00591C8F"/>
    <w:rsid w:val="005953F1"/>
    <w:rsid w:val="005A4328"/>
    <w:rsid w:val="005C2C4F"/>
    <w:rsid w:val="005C5D3B"/>
    <w:rsid w:val="005D1DA7"/>
    <w:rsid w:val="005D3E49"/>
    <w:rsid w:val="005E1576"/>
    <w:rsid w:val="005E211D"/>
    <w:rsid w:val="006003B4"/>
    <w:rsid w:val="006010AA"/>
    <w:rsid w:val="00601137"/>
    <w:rsid w:val="006013DD"/>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09E3"/>
    <w:rsid w:val="00736D21"/>
    <w:rsid w:val="00736EAE"/>
    <w:rsid w:val="007460F0"/>
    <w:rsid w:val="00747B69"/>
    <w:rsid w:val="0075140B"/>
    <w:rsid w:val="0075682C"/>
    <w:rsid w:val="00763742"/>
    <w:rsid w:val="0078119C"/>
    <w:rsid w:val="007849CA"/>
    <w:rsid w:val="0079029A"/>
    <w:rsid w:val="007975F4"/>
    <w:rsid w:val="007A6D00"/>
    <w:rsid w:val="007B2565"/>
    <w:rsid w:val="007B7090"/>
    <w:rsid w:val="007C1E1B"/>
    <w:rsid w:val="007C2875"/>
    <w:rsid w:val="007C3BD7"/>
    <w:rsid w:val="007C52F1"/>
    <w:rsid w:val="007D5255"/>
    <w:rsid w:val="007D63DC"/>
    <w:rsid w:val="007E327B"/>
    <w:rsid w:val="007E4F5E"/>
    <w:rsid w:val="007E60AF"/>
    <w:rsid w:val="007E62E2"/>
    <w:rsid w:val="007E7AB4"/>
    <w:rsid w:val="00805E37"/>
    <w:rsid w:val="008145C1"/>
    <w:rsid w:val="00821F3A"/>
    <w:rsid w:val="00827E02"/>
    <w:rsid w:val="00845572"/>
    <w:rsid w:val="008508BE"/>
    <w:rsid w:val="00855F07"/>
    <w:rsid w:val="008627B3"/>
    <w:rsid w:val="0086578B"/>
    <w:rsid w:val="00867883"/>
    <w:rsid w:val="008820A6"/>
    <w:rsid w:val="00885231"/>
    <w:rsid w:val="00885650"/>
    <w:rsid w:val="008A39F1"/>
    <w:rsid w:val="008B3704"/>
    <w:rsid w:val="008B4CA0"/>
    <w:rsid w:val="008C4719"/>
    <w:rsid w:val="008D1D00"/>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77E5F"/>
    <w:rsid w:val="009860CB"/>
    <w:rsid w:val="009964F0"/>
    <w:rsid w:val="009A2DCC"/>
    <w:rsid w:val="009B03EC"/>
    <w:rsid w:val="009B5D96"/>
    <w:rsid w:val="009B622C"/>
    <w:rsid w:val="009C13E9"/>
    <w:rsid w:val="009D5157"/>
    <w:rsid w:val="009D7437"/>
    <w:rsid w:val="009E41E2"/>
    <w:rsid w:val="009F0E31"/>
    <w:rsid w:val="00A026C5"/>
    <w:rsid w:val="00A16E4E"/>
    <w:rsid w:val="00A25464"/>
    <w:rsid w:val="00A27631"/>
    <w:rsid w:val="00A40EDA"/>
    <w:rsid w:val="00A41EC4"/>
    <w:rsid w:val="00A43F14"/>
    <w:rsid w:val="00A45ADF"/>
    <w:rsid w:val="00A553BF"/>
    <w:rsid w:val="00A57F52"/>
    <w:rsid w:val="00A665B1"/>
    <w:rsid w:val="00A70659"/>
    <w:rsid w:val="00A73CE3"/>
    <w:rsid w:val="00A7797A"/>
    <w:rsid w:val="00A83AF4"/>
    <w:rsid w:val="00A91A30"/>
    <w:rsid w:val="00A953D8"/>
    <w:rsid w:val="00A978E4"/>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47D5"/>
    <w:rsid w:val="00BC124D"/>
    <w:rsid w:val="00BC6A49"/>
    <w:rsid w:val="00BD3489"/>
    <w:rsid w:val="00BE0969"/>
    <w:rsid w:val="00BE43EA"/>
    <w:rsid w:val="00BE4F6E"/>
    <w:rsid w:val="00C04173"/>
    <w:rsid w:val="00C049A1"/>
    <w:rsid w:val="00C1057C"/>
    <w:rsid w:val="00C10B70"/>
    <w:rsid w:val="00C13645"/>
    <w:rsid w:val="00C26FA8"/>
    <w:rsid w:val="00C35AEC"/>
    <w:rsid w:val="00C4718E"/>
    <w:rsid w:val="00C6115D"/>
    <w:rsid w:val="00C673B6"/>
    <w:rsid w:val="00C75023"/>
    <w:rsid w:val="00C75F9A"/>
    <w:rsid w:val="00C82752"/>
    <w:rsid w:val="00C84B93"/>
    <w:rsid w:val="00C866BA"/>
    <w:rsid w:val="00C8777F"/>
    <w:rsid w:val="00C93A9A"/>
    <w:rsid w:val="00CB098F"/>
    <w:rsid w:val="00CB0EFD"/>
    <w:rsid w:val="00CB6671"/>
    <w:rsid w:val="00CD112F"/>
    <w:rsid w:val="00CD7497"/>
    <w:rsid w:val="00CE1B92"/>
    <w:rsid w:val="00CE43D2"/>
    <w:rsid w:val="00CE7FB0"/>
    <w:rsid w:val="00CF2C06"/>
    <w:rsid w:val="00D06917"/>
    <w:rsid w:val="00D113C3"/>
    <w:rsid w:val="00D150CB"/>
    <w:rsid w:val="00D22228"/>
    <w:rsid w:val="00D23C43"/>
    <w:rsid w:val="00D251F0"/>
    <w:rsid w:val="00D27F4F"/>
    <w:rsid w:val="00D41928"/>
    <w:rsid w:val="00D52907"/>
    <w:rsid w:val="00D65A7E"/>
    <w:rsid w:val="00D67BF9"/>
    <w:rsid w:val="00D7189F"/>
    <w:rsid w:val="00DA0F70"/>
    <w:rsid w:val="00DA5B57"/>
    <w:rsid w:val="00DB0540"/>
    <w:rsid w:val="00DC560F"/>
    <w:rsid w:val="00DC75DA"/>
    <w:rsid w:val="00DD09D6"/>
    <w:rsid w:val="00DD0CDE"/>
    <w:rsid w:val="00DF03E1"/>
    <w:rsid w:val="00DF396C"/>
    <w:rsid w:val="00E00549"/>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3028F"/>
    <w:rsid w:val="00F30556"/>
    <w:rsid w:val="00F371D5"/>
    <w:rsid w:val="00F4337D"/>
    <w:rsid w:val="00F43EC4"/>
    <w:rsid w:val="00F54792"/>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234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Balk5Char">
    <w:name w:val="Başlık 5 Char"/>
    <w:basedOn w:val="VarsaylanParagrafYazTipi"/>
    <w:link w:val="Balk5"/>
    <w:uiPriority w:val="9"/>
    <w:semiHidden/>
    <w:rsid w:val="00323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435348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7634686">
      <w:bodyDiv w:val="1"/>
      <w:marLeft w:val="0"/>
      <w:marRight w:val="0"/>
      <w:marTop w:val="0"/>
      <w:marBottom w:val="0"/>
      <w:divBdr>
        <w:top w:val="none" w:sz="0" w:space="0" w:color="auto"/>
        <w:left w:val="none" w:sz="0" w:space="0" w:color="auto"/>
        <w:bottom w:val="none" w:sz="0" w:space="0" w:color="auto"/>
        <w:right w:val="none" w:sz="0" w:space="0" w:color="auto"/>
      </w:divBdr>
    </w:div>
    <w:div w:id="275987451">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22872242">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34953026">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15967336">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705976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182591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456</Words>
  <Characters>2605</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30</cp:revision>
  <cp:lastPrinted>2025-04-08T23:39:00Z</cp:lastPrinted>
  <dcterms:created xsi:type="dcterms:W3CDTF">2025-04-30T10:19:00Z</dcterms:created>
  <dcterms:modified xsi:type="dcterms:W3CDTF">2025-07-25T12:45:00Z</dcterms:modified>
</cp:coreProperties>
</file>