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B5EE" w14:textId="74874B59" w:rsidR="002902B9" w:rsidRDefault="00F948B6" w:rsidP="002902B9">
      <w:pPr>
        <w:spacing w:after="33"/>
        <w:ind w:right="299"/>
        <w:rPr>
          <w:b/>
        </w:rPr>
      </w:pPr>
      <w:r>
        <w:rPr>
          <w:b/>
          <w:bCs/>
        </w:rPr>
        <w:t>KALİTE POLİTİKASI</w:t>
      </w:r>
    </w:p>
    <w:p w14:paraId="64DDDDA5" w14:textId="5B43B793" w:rsidR="00EB5DD7" w:rsidRPr="00A51D4E" w:rsidRDefault="00EB5DD7" w:rsidP="00EB5DD7"/>
    <w:p w14:paraId="7C196346" w14:textId="77777777" w:rsidR="005D4AC0" w:rsidRPr="0054356F" w:rsidRDefault="005D4AC0" w:rsidP="005D4AC0">
      <w:pPr>
        <w:spacing w:line="360" w:lineRule="auto"/>
      </w:pPr>
      <w:r w:rsidRPr="0054356F">
        <w:t>Mimari Restorasyon Programı’nın kalite politikası, tarihi yapıları koruma ve yaşatma bilinciyle hareket eden, yenilikçi ve eleştirel düşünebilen mimari restoratör teknikerler yetiştirmeyi amaçlar. Eğitim sürecinde öğrenci merkezli yaklaşımlar benimsenerek, nitelikli ve donanımlı profesyonellerin kazandırılması hedeflenir. Akademik ve idari personel ile öğrenciler için güvenli, sağlıklı ve huzurlu bir eğitim ve çalışma ortamı sağlanır.</w:t>
      </w:r>
    </w:p>
    <w:p w14:paraId="75027B4D" w14:textId="77777777" w:rsidR="005D4AC0" w:rsidRPr="0054356F" w:rsidRDefault="005D4AC0" w:rsidP="005D4AC0">
      <w:pPr>
        <w:spacing w:line="360" w:lineRule="auto"/>
      </w:pPr>
      <w:r w:rsidRPr="0054356F">
        <w:t>Program, tüm personelin mesleki bilgi, beceri ve yeterliliklerini sürekli geliştirmeyi esas alır. Tarihi yapıları koruma ve restorasyon alanında bilgi ve beceriye sahip, yaratıcı ve analitik düşünen, etik değerlere bağlı bireyler yetiştirilir. Öğrencilere rölöve, restitüsyon ve restorasyon projeleri gibi uygulamalı eğitim fırsatları sunularak mesleki donanımları artırılır. Mezunların mimari ofislerde ve şantiyelerde proje çizim ve restorasyon uygulamalarında tekniker olarak görev alabilmeleri desteklenir.</w:t>
      </w:r>
    </w:p>
    <w:p w14:paraId="7B411C8D" w14:textId="77777777" w:rsidR="005D4AC0" w:rsidRPr="0054356F" w:rsidRDefault="005D4AC0" w:rsidP="005D4AC0">
      <w:pPr>
        <w:spacing w:line="360" w:lineRule="auto"/>
      </w:pPr>
      <w:r w:rsidRPr="0054356F">
        <w:t>Öğrencilerin iş bulma olanaklarını artırmak için güncel bilgisayar destekli programların öğretilmesi sağlanır. Programda öğrenci odaklı eğitim sistemi yaygınlaştırılır ve geliştirilir; nitelikli öğrenciler yetiştirilerek iş istihdamına katkı sağlanır. Tüm paydaşların ve toplumun memnuniyetini en üst seviyede karşılamak temel ilkelerden biridir. Eğitim ve öğretimde sürekli iyileştirme çalışmaları yürütülerek ulusal ve uluslararası akreditasyon süreçlerinde başarı hedeflenir.</w:t>
      </w:r>
    </w:p>
    <w:p w14:paraId="0BF13680" w14:textId="77777777" w:rsidR="005D4AC0" w:rsidRPr="0054356F" w:rsidRDefault="005D4AC0" w:rsidP="005D4AC0">
      <w:pPr>
        <w:spacing w:line="360" w:lineRule="auto"/>
      </w:pPr>
      <w:r w:rsidRPr="0054356F">
        <w:t xml:space="preserve">Bilimsel ve teknolojik gelişmeler yakından takip edilerek uygulamaya aktarılır. Tarihi ve kültürel mirasın korunması ve yaşatılması amacıyla yerel ve ulusal projeler geliştirilir. Kültür ve Turizm Bakanlığı, mimarlık ofisleri ve restorasyon firmaları gibi sektörle güçlü </w:t>
      </w:r>
      <w:proofErr w:type="gramStart"/>
      <w:r w:rsidRPr="0054356F">
        <w:t>işbirlikleri</w:t>
      </w:r>
      <w:proofErr w:type="gramEnd"/>
      <w:r w:rsidRPr="0054356F">
        <w:t xml:space="preserve"> kurularak öğrencilerin staj ve iş imkanları artırılır. Tüm süreçlerde şeffaflık ve hesap verebilirlik ilkesiyle hareket edilerek paydaş memnuniyeti sağlanır. İnovasyon ve girişimcilik odaklı üniversite-sanayi iş birliği güçlendirilir. Kalite yönetim sistemleri sürekli geliştirilerek iç ve dış denetim mekanizmaları etkin şekilde işletilir. Başarılı mezun oranları yüksek, saygın bir bölüm olmak amacıyla sürekli iyileştirme ve geliştirme faaliyetleri yürütülür.</w:t>
      </w:r>
    </w:p>
    <w:p w14:paraId="3FC487EB" w14:textId="77777777" w:rsidR="005D4AC0" w:rsidRPr="0054356F" w:rsidRDefault="005D4AC0" w:rsidP="005D4AC0">
      <w:pPr>
        <w:spacing w:line="360" w:lineRule="auto"/>
        <w:rPr>
          <w:b/>
          <w:bCs/>
        </w:rPr>
      </w:pPr>
      <w:r w:rsidRPr="0054356F">
        <w:rPr>
          <w:b/>
          <w:bCs/>
        </w:rPr>
        <w:t>Kalite Güvence Süreçleri</w:t>
      </w:r>
    </w:p>
    <w:p w14:paraId="719F1DC8" w14:textId="77777777" w:rsidR="005D4AC0" w:rsidRPr="0054356F" w:rsidRDefault="005D4AC0" w:rsidP="005D4AC0">
      <w:pPr>
        <w:spacing w:line="360" w:lineRule="auto"/>
      </w:pPr>
      <w:r w:rsidRPr="0054356F">
        <w:lastRenderedPageBreak/>
        <w:t>Kalite güvence süreçleri, eğitim-öğretim kalitesinin düzenli olarak geliştirilmesiyle başlar. Ders içerikleri güncel tutulur, öğretim elemanlarının performansları değerlendirilir ve öğrenci başarıları takip edilir. Teknolojik altyapı sürekli yenilenir, uygulamalı eğitim olanakları artırılır.</w:t>
      </w:r>
    </w:p>
    <w:p w14:paraId="00467294" w14:textId="77777777" w:rsidR="005D4AC0" w:rsidRPr="0054356F" w:rsidRDefault="005D4AC0" w:rsidP="005D4AC0">
      <w:pPr>
        <w:spacing w:line="360" w:lineRule="auto"/>
      </w:pPr>
      <w:r w:rsidRPr="0054356F">
        <w:t>Kaynak yönetimi kapsamında fiziki kaynaklar, bilgisayar laboratuvarları ve çalışma alanlarıyla desteklenir. İnsan kaynakları açısından akademik personelin gelişimi, hizmet içi eğitimler ve sektör deneyimi paylaşımı önemsenir. Teknolojik altyapıda ise güncel yazılımlar, donanım gereksinimleri ve teknik destek hizmetleri sağlanarak eğitim sürecinin verimliliği artırılır.</w:t>
      </w:r>
    </w:p>
    <w:p w14:paraId="29A6410E" w14:textId="77777777" w:rsidR="005D4AC0" w:rsidRPr="0054356F" w:rsidRDefault="005D4AC0" w:rsidP="005D4AC0">
      <w:pPr>
        <w:spacing w:line="360" w:lineRule="auto"/>
        <w:rPr>
          <w:b/>
          <w:bCs/>
        </w:rPr>
      </w:pPr>
      <w:r w:rsidRPr="0054356F">
        <w:rPr>
          <w:b/>
          <w:bCs/>
        </w:rPr>
        <w:t>İç ve Dış Paydaş Katılımı</w:t>
      </w:r>
    </w:p>
    <w:p w14:paraId="6A1A6CC8" w14:textId="77777777" w:rsidR="005D4AC0" w:rsidRPr="0054356F" w:rsidRDefault="005D4AC0" w:rsidP="005D4AC0">
      <w:pPr>
        <w:spacing w:line="360" w:lineRule="auto"/>
      </w:pPr>
      <w:r w:rsidRPr="0054356F">
        <w:t>İç paydaş katılımı, düzenli akademik kurul toplantıları, öğrenci geri bildirim anketleri, öğrenci temsilcilerinin sürece dahil edilmesi ve personel memnuniyet değerlendirmeleriyle sağlanır. Bu mekanizmalar, programın iç dinamiklerini güçlendirir ve sürekli gelişime katkıda bulunur.</w:t>
      </w:r>
    </w:p>
    <w:p w14:paraId="12CC33D0" w14:textId="77777777" w:rsidR="005D4AC0" w:rsidRPr="0054356F" w:rsidRDefault="005D4AC0" w:rsidP="005D4AC0">
      <w:pPr>
        <w:spacing w:line="360" w:lineRule="auto"/>
      </w:pPr>
      <w:r w:rsidRPr="0054356F">
        <w:t>Dış paydaş katılımı ise danışma kurulu toplantıları, sektör temsilcileriyle düzenli görüşmeler, mezun izleme sistemi ve staj yeri değerlendirmeleri aracılığıyla gerçekleştirilir. Böylece program, sektörle güçlü bağlar kurarak öğrencilerin mesleki gelişimini ve istihdam olanaklarını artırır.</w:t>
      </w:r>
    </w:p>
    <w:p w14:paraId="3EEC6F68" w14:textId="77777777" w:rsidR="005D4AC0" w:rsidRPr="0054356F" w:rsidRDefault="005D4AC0" w:rsidP="005D4AC0">
      <w:pPr>
        <w:spacing w:line="360" w:lineRule="auto"/>
      </w:pPr>
    </w:p>
    <w:p w14:paraId="7011E4BD" w14:textId="77777777" w:rsidR="00EB5DD7" w:rsidRPr="00EB5DD7" w:rsidRDefault="00EB5DD7" w:rsidP="00EB5DD7"/>
    <w:p w14:paraId="68895761" w14:textId="77777777" w:rsidR="00EB5DD7" w:rsidRPr="00EB5DD7" w:rsidRDefault="00EB5DD7" w:rsidP="00EB5DD7"/>
    <w:p w14:paraId="681287EF" w14:textId="77777777" w:rsidR="00EB5DD7" w:rsidRPr="00EB5DD7" w:rsidRDefault="00EB5DD7" w:rsidP="00EB5DD7"/>
    <w:p w14:paraId="5554E941" w14:textId="77777777" w:rsidR="00EB5DD7" w:rsidRPr="00EB5DD7" w:rsidRDefault="00EB5DD7" w:rsidP="00EB5DD7"/>
    <w:p w14:paraId="5219CF12" w14:textId="77777777" w:rsidR="00EB5DD7" w:rsidRPr="00EB5DD7" w:rsidRDefault="00EB5DD7" w:rsidP="00EB5DD7"/>
    <w:p w14:paraId="377111F1" w14:textId="77777777" w:rsidR="00EB5DD7" w:rsidRPr="00EB5DD7" w:rsidRDefault="00EB5DD7" w:rsidP="00EB5DD7"/>
    <w:p w14:paraId="6DCF456F" w14:textId="77777777" w:rsidR="00EB5DD7" w:rsidRPr="00EB5DD7" w:rsidRDefault="00EB5DD7" w:rsidP="00EB5DD7"/>
    <w:p w14:paraId="104C3A13" w14:textId="77777777" w:rsidR="00EB5DD7" w:rsidRPr="00EB5DD7" w:rsidRDefault="00EB5DD7" w:rsidP="00EB5DD7"/>
    <w:p w14:paraId="1703E31D" w14:textId="77777777" w:rsidR="00EB5DD7" w:rsidRPr="00EB5DD7" w:rsidRDefault="00EB5DD7" w:rsidP="00EB5DD7"/>
    <w:p w14:paraId="4499C80C" w14:textId="77777777" w:rsidR="00EB5DD7" w:rsidRPr="00EB5DD7" w:rsidRDefault="00EB5DD7" w:rsidP="00EB5DD7"/>
    <w:p w14:paraId="3A8D5F66" w14:textId="77777777" w:rsidR="00EB5DD7" w:rsidRPr="00EB5DD7" w:rsidRDefault="00EB5DD7" w:rsidP="00EB5DD7"/>
    <w:p w14:paraId="56DE9EAB" w14:textId="77777777" w:rsidR="00EB5DD7" w:rsidRPr="00EB5DD7" w:rsidRDefault="00EB5DD7" w:rsidP="00EB5DD7"/>
    <w:p w14:paraId="22B3ADF6" w14:textId="77777777" w:rsidR="00EB5DD7" w:rsidRPr="00EB5DD7" w:rsidRDefault="00EB5DD7" w:rsidP="00EB5DD7"/>
    <w:p w14:paraId="507433FA" w14:textId="77777777" w:rsidR="00EB5DD7" w:rsidRPr="00EB5DD7" w:rsidRDefault="00EB5DD7" w:rsidP="00EB5DD7"/>
    <w:p w14:paraId="764FDEA4" w14:textId="77777777" w:rsidR="00EB5DD7" w:rsidRPr="00EB5DD7" w:rsidRDefault="00EB5DD7" w:rsidP="00EB5DD7"/>
    <w:p w14:paraId="0821EC23" w14:textId="77777777" w:rsidR="00EB5DD7" w:rsidRPr="00EB5DD7" w:rsidRDefault="00EB5DD7" w:rsidP="00EB5DD7"/>
    <w:p w14:paraId="1A3B784E" w14:textId="77777777" w:rsidR="00EB5DD7" w:rsidRPr="00EB5DD7" w:rsidRDefault="00EB5DD7" w:rsidP="00EB5DD7"/>
    <w:p w14:paraId="1D89C3A1" w14:textId="77777777" w:rsidR="00EB5DD7" w:rsidRPr="00EB5DD7" w:rsidRDefault="00EB5DD7" w:rsidP="00EB5DD7"/>
    <w:p w14:paraId="53810655" w14:textId="77777777" w:rsidR="00EB5DD7" w:rsidRPr="00EB5DD7" w:rsidRDefault="00EB5DD7" w:rsidP="00EB5DD7"/>
    <w:p w14:paraId="0A59E531" w14:textId="77777777" w:rsidR="00EB5DD7" w:rsidRPr="00EB5DD7" w:rsidRDefault="00EB5DD7" w:rsidP="00EB5DD7"/>
    <w:p w14:paraId="479E1F53" w14:textId="77777777" w:rsidR="00EB5DD7" w:rsidRDefault="00EB5DD7" w:rsidP="00EB5DD7"/>
    <w:p w14:paraId="4B1F9684" w14:textId="77777777" w:rsidR="00EB5DD7" w:rsidRPr="00EB5DD7" w:rsidRDefault="00EB5DD7" w:rsidP="00EB5DD7"/>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8272" w14:textId="77777777" w:rsidR="00A63EEA" w:rsidRDefault="00A63EEA" w:rsidP="003A6F6D">
      <w:r>
        <w:separator/>
      </w:r>
    </w:p>
  </w:endnote>
  <w:endnote w:type="continuationSeparator" w:id="0">
    <w:p w14:paraId="5575330C" w14:textId="77777777" w:rsidR="00A63EEA" w:rsidRDefault="00A63EEA"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F948B6" w14:paraId="68F5E899" w14:textId="77777777" w:rsidTr="00E7328C">
      <w:trPr>
        <w:trHeight w:val="464"/>
      </w:trPr>
      <w:tc>
        <w:tcPr>
          <w:tcW w:w="3686" w:type="dxa"/>
          <w:vAlign w:val="center"/>
        </w:tcPr>
        <w:p w14:paraId="5B8ED324" w14:textId="40A26080" w:rsidR="00F948B6" w:rsidRPr="00FA108B" w:rsidRDefault="00F948B6" w:rsidP="00F948B6">
          <w:pPr>
            <w:pStyle w:val="AltBilgi"/>
            <w:jc w:val="center"/>
          </w:pPr>
          <w:r>
            <w:t>Mimari Restorasyon Program Başkanlığı</w:t>
          </w:r>
        </w:p>
      </w:tc>
      <w:tc>
        <w:tcPr>
          <w:tcW w:w="3717" w:type="dxa"/>
          <w:vAlign w:val="center"/>
        </w:tcPr>
        <w:p w14:paraId="1146F847" w14:textId="45B84483" w:rsidR="00F948B6" w:rsidRPr="00514ECE" w:rsidRDefault="00F948B6" w:rsidP="00F948B6">
          <w:pPr>
            <w:pStyle w:val="AltBilgi"/>
            <w:jc w:val="center"/>
          </w:pPr>
          <w:r w:rsidRPr="00FA108B">
            <w:t>Kalite Koordinatör</w:t>
          </w:r>
          <w:r>
            <w:t>ü</w:t>
          </w:r>
        </w:p>
      </w:tc>
      <w:tc>
        <w:tcPr>
          <w:tcW w:w="3371" w:type="dxa"/>
          <w:vAlign w:val="center"/>
        </w:tcPr>
        <w:p w14:paraId="6AAF7A5B" w14:textId="389E5790" w:rsidR="00F948B6" w:rsidRPr="00514ECE" w:rsidRDefault="00F948B6" w:rsidP="00F948B6">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33A6" w14:textId="77777777" w:rsidR="00A63EEA" w:rsidRDefault="00A63EEA" w:rsidP="003A6F6D">
      <w:r>
        <w:separator/>
      </w:r>
    </w:p>
  </w:footnote>
  <w:footnote w:type="continuationSeparator" w:id="0">
    <w:p w14:paraId="2857544C" w14:textId="77777777" w:rsidR="00A63EEA" w:rsidRDefault="00A63EEA"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921"/>
      <w:gridCol w:w="1703"/>
      <w:gridCol w:w="1557"/>
    </w:tblGrid>
    <w:tr w:rsidR="00384F51" w14:paraId="21CCCFE0" w14:textId="77777777" w:rsidTr="00771BDB">
      <w:trPr>
        <w:trHeight w:val="157"/>
      </w:trPr>
      <w:tc>
        <w:tcPr>
          <w:tcW w:w="2593"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921" w:type="dxa"/>
          <w:vMerge w:val="restart"/>
          <w:vAlign w:val="center"/>
        </w:tcPr>
        <w:p w14:paraId="2A7C62FA" w14:textId="77777777" w:rsidR="00384F51" w:rsidRDefault="00C45894" w:rsidP="00771BDB">
          <w:pPr>
            <w:pStyle w:val="stBilgi"/>
            <w:jc w:val="center"/>
            <w:rPr>
              <w:b/>
              <w:bCs/>
            </w:rPr>
          </w:pPr>
          <w:r w:rsidRPr="00C45894">
            <w:rPr>
              <w:b/>
              <w:bCs/>
            </w:rPr>
            <w:t>ANTALYA BELEK ÜNİVERSİTESİ</w:t>
          </w:r>
        </w:p>
        <w:p w14:paraId="4223C1AB" w14:textId="07947346" w:rsidR="00196557" w:rsidRDefault="00196557" w:rsidP="00771BDB">
          <w:pPr>
            <w:spacing w:after="33"/>
            <w:ind w:right="299"/>
            <w:jc w:val="center"/>
            <w:rPr>
              <w:b/>
            </w:rPr>
          </w:pPr>
          <w:r>
            <w:rPr>
              <w:b/>
            </w:rPr>
            <w:t>MİMARİ</w:t>
          </w:r>
          <w:r w:rsidR="00771BDB">
            <w:rPr>
              <w:b/>
            </w:rPr>
            <w:t xml:space="preserve"> </w:t>
          </w:r>
          <w:r>
            <w:rPr>
              <w:b/>
            </w:rPr>
            <w:t>RESTORASYON</w:t>
          </w:r>
          <w:r w:rsidR="00771BDB">
            <w:rPr>
              <w:b/>
            </w:rPr>
            <w:t xml:space="preserve"> </w:t>
          </w:r>
          <w:r>
            <w:rPr>
              <w:b/>
            </w:rPr>
            <w:t>PROGRAMI</w:t>
          </w:r>
        </w:p>
        <w:p w14:paraId="4EB304DA" w14:textId="5201B87B" w:rsidR="00851CE4" w:rsidRPr="003A6F6D" w:rsidRDefault="00F948B6" w:rsidP="003A6F6D">
          <w:pPr>
            <w:pStyle w:val="stBilgi"/>
            <w:jc w:val="center"/>
            <w:rPr>
              <w:b/>
              <w:bCs/>
            </w:rPr>
          </w:pPr>
          <w:r>
            <w:rPr>
              <w:b/>
              <w:bCs/>
            </w:rPr>
            <w:t>KALİTE POLİTİKASI</w:t>
          </w:r>
        </w:p>
      </w:tc>
      <w:tc>
        <w:tcPr>
          <w:tcW w:w="170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7" w:type="dxa"/>
        </w:tcPr>
        <w:p w14:paraId="454C790D" w14:textId="05F7CC5E" w:rsidR="00384F51" w:rsidRPr="00962C72" w:rsidRDefault="00EA45C5" w:rsidP="003A6F6D">
          <w:pPr>
            <w:pStyle w:val="stBilgi"/>
            <w:rPr>
              <w:sz w:val="20"/>
              <w:szCs w:val="20"/>
            </w:rPr>
          </w:pPr>
          <w:r>
            <w:rPr>
              <w:sz w:val="20"/>
              <w:szCs w:val="20"/>
            </w:rPr>
            <w:t>MIR</w:t>
          </w:r>
          <w:r w:rsidR="00851CE4">
            <w:rPr>
              <w:sz w:val="20"/>
              <w:szCs w:val="20"/>
            </w:rPr>
            <w:t>.YÖD.00</w:t>
          </w:r>
          <w:r w:rsidR="002902B9">
            <w:rPr>
              <w:sz w:val="20"/>
              <w:szCs w:val="20"/>
            </w:rPr>
            <w:t>4</w:t>
          </w:r>
        </w:p>
      </w:tc>
    </w:tr>
    <w:tr w:rsidR="00384F51" w14:paraId="581CF7E3" w14:textId="77777777" w:rsidTr="00771BDB">
      <w:trPr>
        <w:trHeight w:val="154"/>
      </w:trPr>
      <w:tc>
        <w:tcPr>
          <w:tcW w:w="2593" w:type="dxa"/>
          <w:vMerge/>
          <w:vAlign w:val="center"/>
        </w:tcPr>
        <w:p w14:paraId="7B74A7DB" w14:textId="77777777" w:rsidR="00384F51" w:rsidRDefault="00384F51" w:rsidP="003A6F6D">
          <w:pPr>
            <w:pStyle w:val="stBilgi"/>
            <w:rPr>
              <w:noProof/>
              <w:lang w:eastAsia="tr-TR"/>
            </w:rPr>
          </w:pPr>
        </w:p>
      </w:tc>
      <w:tc>
        <w:tcPr>
          <w:tcW w:w="4921" w:type="dxa"/>
          <w:vMerge/>
          <w:vAlign w:val="center"/>
        </w:tcPr>
        <w:p w14:paraId="45586635" w14:textId="77777777" w:rsidR="00384F51" w:rsidRDefault="00384F51" w:rsidP="003A6F6D">
          <w:pPr>
            <w:pStyle w:val="stBilgi"/>
          </w:pPr>
        </w:p>
      </w:tc>
      <w:tc>
        <w:tcPr>
          <w:tcW w:w="170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7" w:type="dxa"/>
        </w:tcPr>
        <w:p w14:paraId="6B55DD70" w14:textId="2C8549C2" w:rsidR="00384F51" w:rsidRPr="00962C72" w:rsidRDefault="00851CE4" w:rsidP="003A6F6D">
          <w:pPr>
            <w:pStyle w:val="stBilgi"/>
            <w:rPr>
              <w:sz w:val="20"/>
              <w:szCs w:val="20"/>
            </w:rPr>
          </w:pPr>
          <w:r>
            <w:rPr>
              <w:sz w:val="20"/>
              <w:szCs w:val="20"/>
            </w:rPr>
            <w:t>30.04.2025</w:t>
          </w:r>
        </w:p>
      </w:tc>
    </w:tr>
    <w:tr w:rsidR="00384F51" w14:paraId="54BEB8CC" w14:textId="77777777" w:rsidTr="00771BDB">
      <w:trPr>
        <w:trHeight w:val="154"/>
      </w:trPr>
      <w:tc>
        <w:tcPr>
          <w:tcW w:w="2593" w:type="dxa"/>
          <w:vMerge/>
          <w:vAlign w:val="center"/>
        </w:tcPr>
        <w:p w14:paraId="6A5EB660" w14:textId="77777777" w:rsidR="00384F51" w:rsidRDefault="00384F51" w:rsidP="003A6F6D">
          <w:pPr>
            <w:pStyle w:val="stBilgi"/>
            <w:rPr>
              <w:noProof/>
              <w:lang w:eastAsia="tr-TR"/>
            </w:rPr>
          </w:pPr>
        </w:p>
      </w:tc>
      <w:tc>
        <w:tcPr>
          <w:tcW w:w="4921" w:type="dxa"/>
          <w:vMerge/>
          <w:vAlign w:val="center"/>
        </w:tcPr>
        <w:p w14:paraId="4E8764D4" w14:textId="77777777" w:rsidR="00384F51" w:rsidRDefault="00384F51" w:rsidP="003A6F6D">
          <w:pPr>
            <w:pStyle w:val="stBilgi"/>
          </w:pPr>
        </w:p>
      </w:tc>
      <w:tc>
        <w:tcPr>
          <w:tcW w:w="170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7"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771BDB">
      <w:trPr>
        <w:trHeight w:val="154"/>
      </w:trPr>
      <w:tc>
        <w:tcPr>
          <w:tcW w:w="2593" w:type="dxa"/>
          <w:vMerge/>
          <w:vAlign w:val="center"/>
        </w:tcPr>
        <w:p w14:paraId="33C4448D" w14:textId="77777777" w:rsidR="00384F51" w:rsidRDefault="00384F51" w:rsidP="003A6F6D">
          <w:pPr>
            <w:pStyle w:val="stBilgi"/>
            <w:rPr>
              <w:noProof/>
              <w:lang w:eastAsia="tr-TR"/>
            </w:rPr>
          </w:pPr>
        </w:p>
      </w:tc>
      <w:tc>
        <w:tcPr>
          <w:tcW w:w="4921" w:type="dxa"/>
          <w:vMerge/>
          <w:vAlign w:val="center"/>
        </w:tcPr>
        <w:p w14:paraId="0B8691EB" w14:textId="77777777" w:rsidR="00384F51" w:rsidRDefault="00384F51" w:rsidP="003A6F6D">
          <w:pPr>
            <w:pStyle w:val="stBilgi"/>
          </w:pPr>
        </w:p>
      </w:tc>
      <w:tc>
        <w:tcPr>
          <w:tcW w:w="170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7"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771BDB">
      <w:trPr>
        <w:trHeight w:val="154"/>
      </w:trPr>
      <w:tc>
        <w:tcPr>
          <w:tcW w:w="2593" w:type="dxa"/>
          <w:vMerge/>
          <w:vAlign w:val="center"/>
        </w:tcPr>
        <w:p w14:paraId="4FCD4809" w14:textId="77777777" w:rsidR="00384F51" w:rsidRDefault="00384F51" w:rsidP="003A6F6D">
          <w:pPr>
            <w:pStyle w:val="stBilgi"/>
            <w:rPr>
              <w:noProof/>
              <w:lang w:eastAsia="tr-TR"/>
            </w:rPr>
          </w:pPr>
        </w:p>
      </w:tc>
      <w:tc>
        <w:tcPr>
          <w:tcW w:w="4921" w:type="dxa"/>
          <w:vMerge/>
          <w:vAlign w:val="center"/>
        </w:tcPr>
        <w:p w14:paraId="11516839" w14:textId="77777777" w:rsidR="00384F51" w:rsidRDefault="00384F51" w:rsidP="003A6F6D">
          <w:pPr>
            <w:pStyle w:val="stBilgi"/>
          </w:pPr>
        </w:p>
      </w:tc>
      <w:tc>
        <w:tcPr>
          <w:tcW w:w="170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7"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EE5"/>
    <w:multiLevelType w:val="hybridMultilevel"/>
    <w:tmpl w:val="9CCE1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015049D"/>
    <w:multiLevelType w:val="hybridMultilevel"/>
    <w:tmpl w:val="5E28949A"/>
    <w:lvl w:ilvl="0" w:tplc="041F0001">
      <w:start w:val="1"/>
      <w:numFmt w:val="bullet"/>
      <w:lvlText w:val=""/>
      <w:lvlJc w:val="left"/>
      <w:pPr>
        <w:ind w:left="730" w:hanging="360"/>
      </w:pPr>
      <w:rPr>
        <w:rFonts w:ascii="Symbol" w:hAnsi="Symbol"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42"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4"/>
  </w:num>
  <w:num w:numId="5" w16cid:durableId="5718051">
    <w:abstractNumId w:val="22"/>
  </w:num>
  <w:num w:numId="6" w16cid:durableId="1670013778">
    <w:abstractNumId w:val="12"/>
  </w:num>
  <w:num w:numId="7" w16cid:durableId="1262564147">
    <w:abstractNumId w:val="52"/>
  </w:num>
  <w:num w:numId="8" w16cid:durableId="1400592500">
    <w:abstractNumId w:val="53"/>
  </w:num>
  <w:num w:numId="9" w16cid:durableId="169564715">
    <w:abstractNumId w:val="51"/>
  </w:num>
  <w:num w:numId="10" w16cid:durableId="1859463659">
    <w:abstractNumId w:val="42"/>
  </w:num>
  <w:num w:numId="11" w16cid:durableId="1982147085">
    <w:abstractNumId w:val="50"/>
  </w:num>
  <w:num w:numId="12" w16cid:durableId="130445860">
    <w:abstractNumId w:val="23"/>
  </w:num>
  <w:num w:numId="13" w16cid:durableId="1187675694">
    <w:abstractNumId w:val="2"/>
  </w:num>
  <w:num w:numId="14" w16cid:durableId="1305281809">
    <w:abstractNumId w:val="56"/>
  </w:num>
  <w:num w:numId="15" w16cid:durableId="1031609203">
    <w:abstractNumId w:val="40"/>
  </w:num>
  <w:num w:numId="16" w16cid:durableId="324550695">
    <w:abstractNumId w:val="43"/>
  </w:num>
  <w:num w:numId="17" w16cid:durableId="886794676">
    <w:abstractNumId w:val="49"/>
  </w:num>
  <w:num w:numId="18" w16cid:durableId="670182618">
    <w:abstractNumId w:val="55"/>
  </w:num>
  <w:num w:numId="19" w16cid:durableId="1799296989">
    <w:abstractNumId w:val="27"/>
  </w:num>
  <w:num w:numId="20" w16cid:durableId="1897010470">
    <w:abstractNumId w:val="1"/>
  </w:num>
  <w:num w:numId="21" w16cid:durableId="821653881">
    <w:abstractNumId w:val="6"/>
  </w:num>
  <w:num w:numId="22" w16cid:durableId="1286351981">
    <w:abstractNumId w:val="57"/>
  </w:num>
  <w:num w:numId="23" w16cid:durableId="1893493368">
    <w:abstractNumId w:val="46"/>
  </w:num>
  <w:num w:numId="24" w16cid:durableId="2028678762">
    <w:abstractNumId w:val="47"/>
  </w:num>
  <w:num w:numId="25" w16cid:durableId="982923876">
    <w:abstractNumId w:val="37"/>
  </w:num>
  <w:num w:numId="26" w16cid:durableId="1296987969">
    <w:abstractNumId w:val="38"/>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3"/>
  </w:num>
  <w:num w:numId="32" w16cid:durableId="1937247327">
    <w:abstractNumId w:val="39"/>
  </w:num>
  <w:num w:numId="33" w16cid:durableId="1910073391">
    <w:abstractNumId w:val="13"/>
  </w:num>
  <w:num w:numId="34" w16cid:durableId="16322203">
    <w:abstractNumId w:val="58"/>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4"/>
  </w:num>
  <w:num w:numId="46" w16cid:durableId="127086689">
    <w:abstractNumId w:val="21"/>
  </w:num>
  <w:num w:numId="47" w16cid:durableId="143814307">
    <w:abstractNumId w:val="32"/>
  </w:num>
  <w:num w:numId="48" w16cid:durableId="2047636375">
    <w:abstractNumId w:val="31"/>
  </w:num>
  <w:num w:numId="49" w16cid:durableId="598369510">
    <w:abstractNumId w:val="5"/>
  </w:num>
  <w:num w:numId="50" w16cid:durableId="70542765">
    <w:abstractNumId w:val="48"/>
  </w:num>
  <w:num w:numId="51" w16cid:durableId="1461725722">
    <w:abstractNumId w:val="44"/>
  </w:num>
  <w:num w:numId="52" w16cid:durableId="599148408">
    <w:abstractNumId w:val="17"/>
  </w:num>
  <w:num w:numId="53" w16cid:durableId="793406171">
    <w:abstractNumId w:val="45"/>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2055496211">
    <w:abstractNumId w:val="41"/>
  </w:num>
  <w:num w:numId="59" w16cid:durableId="432634934">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54183"/>
    <w:rsid w:val="00095836"/>
    <w:rsid w:val="00096D24"/>
    <w:rsid w:val="000B276C"/>
    <w:rsid w:val="000B40C9"/>
    <w:rsid w:val="000C21CB"/>
    <w:rsid w:val="000C2595"/>
    <w:rsid w:val="000E179B"/>
    <w:rsid w:val="000F26DA"/>
    <w:rsid w:val="000F470A"/>
    <w:rsid w:val="0010144F"/>
    <w:rsid w:val="00106F60"/>
    <w:rsid w:val="00111FB2"/>
    <w:rsid w:val="00125D85"/>
    <w:rsid w:val="00130166"/>
    <w:rsid w:val="001422AE"/>
    <w:rsid w:val="001450CE"/>
    <w:rsid w:val="00151524"/>
    <w:rsid w:val="0016373F"/>
    <w:rsid w:val="00180C72"/>
    <w:rsid w:val="00182204"/>
    <w:rsid w:val="00196557"/>
    <w:rsid w:val="001A2010"/>
    <w:rsid w:val="001B7AB7"/>
    <w:rsid w:val="001E3864"/>
    <w:rsid w:val="001F2107"/>
    <w:rsid w:val="00203B7C"/>
    <w:rsid w:val="002074F5"/>
    <w:rsid w:val="00235C6E"/>
    <w:rsid w:val="00235F39"/>
    <w:rsid w:val="00237842"/>
    <w:rsid w:val="00267DE1"/>
    <w:rsid w:val="0027275A"/>
    <w:rsid w:val="0028241B"/>
    <w:rsid w:val="00282888"/>
    <w:rsid w:val="00283A3A"/>
    <w:rsid w:val="00286D91"/>
    <w:rsid w:val="002902B9"/>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425D"/>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3D7B"/>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E482C"/>
    <w:rsid w:val="004F0D52"/>
    <w:rsid w:val="00506FD1"/>
    <w:rsid w:val="00514ECE"/>
    <w:rsid w:val="005155F8"/>
    <w:rsid w:val="00540D56"/>
    <w:rsid w:val="00552EED"/>
    <w:rsid w:val="005552BF"/>
    <w:rsid w:val="00591C8F"/>
    <w:rsid w:val="005D1DA7"/>
    <w:rsid w:val="005D4AC0"/>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A5F4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71BDB"/>
    <w:rsid w:val="0078119C"/>
    <w:rsid w:val="007849CA"/>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284F"/>
    <w:rsid w:val="00A43F14"/>
    <w:rsid w:val="00A553BF"/>
    <w:rsid w:val="00A57F52"/>
    <w:rsid w:val="00A63EEA"/>
    <w:rsid w:val="00A665B1"/>
    <w:rsid w:val="00A70659"/>
    <w:rsid w:val="00A727B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718E"/>
    <w:rsid w:val="00C6115D"/>
    <w:rsid w:val="00C673B6"/>
    <w:rsid w:val="00C82752"/>
    <w:rsid w:val="00C866BA"/>
    <w:rsid w:val="00C93A9A"/>
    <w:rsid w:val="00CB098F"/>
    <w:rsid w:val="00CB6671"/>
    <w:rsid w:val="00CD112F"/>
    <w:rsid w:val="00CD7497"/>
    <w:rsid w:val="00CE1B92"/>
    <w:rsid w:val="00CE43D2"/>
    <w:rsid w:val="00D06917"/>
    <w:rsid w:val="00D22228"/>
    <w:rsid w:val="00D23C43"/>
    <w:rsid w:val="00D251F0"/>
    <w:rsid w:val="00D41928"/>
    <w:rsid w:val="00D52907"/>
    <w:rsid w:val="00D65A7E"/>
    <w:rsid w:val="00D7189F"/>
    <w:rsid w:val="00D76D09"/>
    <w:rsid w:val="00D90A43"/>
    <w:rsid w:val="00DA0F70"/>
    <w:rsid w:val="00DB0540"/>
    <w:rsid w:val="00DC0682"/>
    <w:rsid w:val="00DC560F"/>
    <w:rsid w:val="00DC75DA"/>
    <w:rsid w:val="00DD09D6"/>
    <w:rsid w:val="00DD0CDE"/>
    <w:rsid w:val="00DF396C"/>
    <w:rsid w:val="00E0075E"/>
    <w:rsid w:val="00E073D5"/>
    <w:rsid w:val="00E1772E"/>
    <w:rsid w:val="00E30E12"/>
    <w:rsid w:val="00E5068C"/>
    <w:rsid w:val="00E52E86"/>
    <w:rsid w:val="00E644F9"/>
    <w:rsid w:val="00E7328C"/>
    <w:rsid w:val="00E73956"/>
    <w:rsid w:val="00E93D33"/>
    <w:rsid w:val="00EA45C5"/>
    <w:rsid w:val="00EB18A1"/>
    <w:rsid w:val="00EB5DD7"/>
    <w:rsid w:val="00EC013C"/>
    <w:rsid w:val="00EE506F"/>
    <w:rsid w:val="00EF1D5C"/>
    <w:rsid w:val="00F30556"/>
    <w:rsid w:val="00F4337D"/>
    <w:rsid w:val="00F43EC4"/>
    <w:rsid w:val="00F54792"/>
    <w:rsid w:val="00F67FBD"/>
    <w:rsid w:val="00F75D31"/>
    <w:rsid w:val="00F81C5F"/>
    <w:rsid w:val="00F8455D"/>
    <w:rsid w:val="00F948B6"/>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523</Words>
  <Characters>2986</Characters>
  <Application>Microsoft Office Word</Application>
  <DocSecurity>0</DocSecurity>
  <Lines>24</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Vuslat Erdem Küçükşahin</cp:lastModifiedBy>
  <cp:revision>19</cp:revision>
  <cp:lastPrinted>2025-04-08T23:39:00Z</cp:lastPrinted>
  <dcterms:created xsi:type="dcterms:W3CDTF">2025-04-30T08:03:00Z</dcterms:created>
  <dcterms:modified xsi:type="dcterms:W3CDTF">2025-11-26T11:31:00Z</dcterms:modified>
</cp:coreProperties>
</file>