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8C72" w14:textId="1B7C8175" w:rsidR="00EB703E" w:rsidRDefault="00EB703E" w:rsidP="0032202E">
      <w:pPr>
        <w:spacing w:line="360" w:lineRule="auto"/>
        <w:rPr>
          <w:color w:val="000000"/>
        </w:rPr>
      </w:pPr>
      <w:r>
        <w:rPr>
          <w:color w:val="000000"/>
        </w:rPr>
        <w:t xml:space="preserve">Yönetim Bilişim Sistemleri </w:t>
      </w:r>
      <w:r w:rsidRPr="00EB703E">
        <w:rPr>
          <w:color w:val="000000"/>
        </w:rPr>
        <w:t>Bölüm</w:t>
      </w:r>
      <w:r>
        <w:rPr>
          <w:color w:val="000000"/>
        </w:rPr>
        <w:t xml:space="preserve">ü, </w:t>
      </w:r>
      <w:r w:rsidRPr="00EB703E">
        <w:rPr>
          <w:color w:val="000000"/>
        </w:rPr>
        <w:t>iş dünyasının ihtiyaçlarını karşılayacak düzeyde bilgisayar sistemleri ile elde edilen bilgileri işletme ve yönetim alanlarında yer alan uygulamaları ve yenilikleri takip edecek insan gücü yetiştirmekt</w:t>
      </w:r>
      <w:r>
        <w:rPr>
          <w:color w:val="000000"/>
        </w:rPr>
        <w:t>edir.</w:t>
      </w:r>
    </w:p>
    <w:p w14:paraId="3771D1A8" w14:textId="7850996F" w:rsidR="00EB703E" w:rsidRPr="00EB703E" w:rsidRDefault="00EB703E" w:rsidP="0032202E">
      <w:pPr>
        <w:spacing w:after="120" w:line="360" w:lineRule="auto"/>
        <w:rPr>
          <w:b/>
          <w:bCs/>
          <w:color w:val="000000"/>
        </w:rPr>
      </w:pPr>
      <w:r w:rsidRPr="00EB703E">
        <w:rPr>
          <w:b/>
          <w:bCs/>
          <w:color w:val="000000"/>
        </w:rPr>
        <w:t>KALİTE POLİTİKASI</w:t>
      </w:r>
    </w:p>
    <w:p w14:paraId="0B25A032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12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Evrensel değerlere bağlı, sorgulayıcı, girişimci ve öz güveni yüksek bireyler yetiştirmek,</w:t>
      </w:r>
    </w:p>
    <w:p w14:paraId="3D7F650C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YBS özelinde öğrenci odaklı eğitim sistemini geliştirerek, sektöre yönelik nitelikli mezunlar yetiştirmek ve iş istihdamına katkı sağlamak,</w:t>
      </w:r>
    </w:p>
    <w:p w14:paraId="5B5450C1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Öğrenci, akademik ve idari personel memnuniyetini temel alarak güvenli, sağlıklı ve üretken bir çalışma ortamı sunmak,</w:t>
      </w:r>
    </w:p>
    <w:p w14:paraId="4CAADC52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Akademik ve idari personelin bilgi teknolojileri ve yönetim sistemleri alanında beceri ve yetkinliklerini artırmak,</w:t>
      </w:r>
    </w:p>
    <w:p w14:paraId="51D31852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Paydaşlar ve toplumun memnuniyetini en üst düzeyde karşılayarak, uluslararası tanınırlığı olan, yenilikçi ve proaktif bir ulusal bölüm olmak,</w:t>
      </w:r>
    </w:p>
    <w:p w14:paraId="2A58D629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Eğitim ve araştırma faaliyetlerinde ulusal ve uluslararası akreditasyon standartlarını yükseltmek,</w:t>
      </w:r>
    </w:p>
    <w:p w14:paraId="2D1CAA9A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Bilimsel ve teknolojik gelişmeleri yakından izleyerek, bu yenilikleri eğitim ve araştırma süreçlerimize entegre etmek,</w:t>
      </w:r>
    </w:p>
    <w:p w14:paraId="3FC9A944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Akdeniz bölgesinin tarihsel ve kültürel zenginliklerini dijital platformlarda sergileyerek sürdürülebilirliğini desteklemek,</w:t>
      </w:r>
    </w:p>
    <w:p w14:paraId="366F6EF2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Toplumsal ve çevresel duyarlılık ilkesine uygun olarak sosyal sorumluluk projeleri geliştirmek,</w:t>
      </w:r>
    </w:p>
    <w:p w14:paraId="6BFFFA33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Hesap verebilirlik ve özerklik ilkelerini benimseyerek yönetim yapılarımızı güçlendirmek,</w:t>
      </w:r>
    </w:p>
    <w:p w14:paraId="562E70E2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Küresel düzeyde Ar-</w:t>
      </w:r>
      <w:proofErr w:type="spellStart"/>
      <w:r w:rsidRPr="00EB703E">
        <w:rPr>
          <w:rFonts w:eastAsia="Aptos"/>
          <w:color w:val="000000"/>
          <w:kern w:val="2"/>
          <w14:ligatures w14:val="standardContextual"/>
        </w:rPr>
        <w:t>Ge</w:t>
      </w:r>
      <w:proofErr w:type="spellEnd"/>
      <w:r w:rsidRPr="00EB703E">
        <w:rPr>
          <w:rFonts w:eastAsia="Aptos"/>
          <w:color w:val="000000"/>
          <w:kern w:val="2"/>
          <w14:ligatures w14:val="standardContextual"/>
        </w:rPr>
        <w:t xml:space="preserve"> çıktıları üreten, inovasyon ve girişimcilik odaklı çalışmalarla üniversite-sanayi işbirliğini ilerletmek,</w:t>
      </w:r>
    </w:p>
    <w:p w14:paraId="4EAD7FC4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Akreditasyon, iç ve dış denetim mekanizmalarını sürekli iyileştirerek kaliteli bir yönetim sistemi oluşturmak ve sürdürmek,</w:t>
      </w:r>
    </w:p>
    <w:p w14:paraId="7EBCD196" w14:textId="79DF4783" w:rsidR="00EB703E" w:rsidRPr="0032202E" w:rsidRDefault="00EB703E" w:rsidP="0032202E">
      <w:pPr>
        <w:numPr>
          <w:ilvl w:val="0"/>
          <w:numId w:val="59"/>
        </w:numPr>
        <w:tabs>
          <w:tab w:val="clear" w:pos="4536"/>
        </w:tabs>
        <w:spacing w:before="360" w:after="240" w:line="360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lastRenderedPageBreak/>
        <w:t>Bilimsel tanınırlığı yüksek, saygın bir bölüm olarak iç ve dış paydaşların gereksinim ve beklentilerini karşılamaya yönelik sürekli iyileştirme ve geliştirme faaliyetlerinde bulunmaktır.</w:t>
      </w:r>
    </w:p>
    <w:p w14:paraId="152D5D55" w14:textId="59CDD14C" w:rsidR="00EB703E" w:rsidRPr="00EB703E" w:rsidRDefault="00EB703E" w:rsidP="0032202E">
      <w:pPr>
        <w:tabs>
          <w:tab w:val="clear" w:pos="4536"/>
        </w:tabs>
        <w:spacing w:before="360" w:after="0" w:line="360" w:lineRule="auto"/>
        <w:jc w:val="left"/>
        <w:rPr>
          <w:rFonts w:eastAsia="Aptos"/>
          <w:b/>
          <w:bCs/>
          <w:kern w:val="2"/>
          <w14:ligatures w14:val="standardContextual"/>
        </w:rPr>
      </w:pPr>
      <w:r w:rsidRPr="00EB703E">
        <w:rPr>
          <w:rFonts w:eastAsia="Aptos"/>
          <w:b/>
          <w:bCs/>
          <w:color w:val="000000"/>
          <w:kern w:val="2"/>
          <w14:ligatures w14:val="standardContextual"/>
        </w:rPr>
        <w:t xml:space="preserve">LİDERLİK, YÖNETİŞİM VE KALİTE </w:t>
      </w:r>
      <w:r w:rsidR="007F4C7F" w:rsidRPr="00EB703E">
        <w:rPr>
          <w:rFonts w:eastAsia="Aptos"/>
          <w:b/>
          <w:bCs/>
          <w:kern w:val="2"/>
          <w14:ligatures w14:val="standardContextual"/>
        </w:rPr>
        <w:t>POLİTİK</w:t>
      </w:r>
      <w:r w:rsidR="007F4C7F" w:rsidRPr="007F4C7F">
        <w:rPr>
          <w:rFonts w:eastAsia="Aptos"/>
          <w:b/>
          <w:bCs/>
          <w:kern w:val="2"/>
          <w14:ligatures w14:val="standardContextual"/>
        </w:rPr>
        <w:t>ASI</w:t>
      </w:r>
      <w:r w:rsidRPr="00EB703E">
        <w:rPr>
          <w:rFonts w:eastAsia="Aptos"/>
          <w:b/>
          <w:bCs/>
          <w:kern w:val="2"/>
          <w14:ligatures w14:val="standardContextual"/>
        </w:rPr>
        <w:t xml:space="preserve"> </w:t>
      </w:r>
    </w:p>
    <w:p w14:paraId="086251EF" w14:textId="624F2C50" w:rsidR="00EB703E" w:rsidRPr="00EB703E" w:rsidRDefault="00EB703E" w:rsidP="0032202E">
      <w:pPr>
        <w:tabs>
          <w:tab w:val="clear" w:pos="4536"/>
        </w:tabs>
        <w:spacing w:after="0" w:line="360" w:lineRule="auto"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Antalya Belek Üniversitesi Yönetim Bilişim Sistemleri Bölümü olarak liderlik, yönetişim ve kalite politika</w:t>
      </w:r>
      <w:r w:rsidR="007F4C7F">
        <w:rPr>
          <w:rFonts w:eastAsia="Aptos"/>
          <w:color w:val="000000"/>
          <w:kern w:val="2"/>
          <w14:ligatures w14:val="standardContextual"/>
        </w:rPr>
        <w:t>ları</w:t>
      </w:r>
      <w:r w:rsidRPr="00EB703E">
        <w:rPr>
          <w:rFonts w:eastAsia="Aptos"/>
          <w:color w:val="000000"/>
          <w:kern w:val="2"/>
          <w14:ligatures w14:val="standardContextual"/>
        </w:rPr>
        <w:t xml:space="preserve"> aşağıdaki gibidir:</w:t>
      </w:r>
    </w:p>
    <w:p w14:paraId="3EEDFF50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kern w:val="2"/>
          <w14:ligatures w14:val="standardContextual"/>
        </w:rPr>
      </w:pPr>
      <w:r w:rsidRPr="00EB703E">
        <w:rPr>
          <w:rFonts w:eastAsia="Aptos"/>
          <w:kern w:val="2"/>
          <w14:ligatures w14:val="standardContextual"/>
        </w:rPr>
        <w:t>Eğitim ve öğretim programlarımızı sürekli olarak yenileyerek, çağın ve ihtiyaçların ötesine geçen bir yaklaşım sergileyen,</w:t>
      </w:r>
    </w:p>
    <w:p w14:paraId="4B687076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kern w:val="2"/>
          <w14:ligatures w14:val="standardContextual"/>
        </w:rPr>
      </w:pPr>
      <w:r w:rsidRPr="00EB703E">
        <w:rPr>
          <w:rFonts w:eastAsia="Aptos"/>
          <w:kern w:val="2"/>
          <w14:ligatures w14:val="standardContextual"/>
        </w:rPr>
        <w:t>İhtisaslaşma ve çeşitlilik ilkelerine bağlı kalarak küresel rekabette üstün bir konum hedefleyen,</w:t>
      </w:r>
    </w:p>
    <w:p w14:paraId="00AF34E4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kern w:val="2"/>
          <w14:ligatures w14:val="standardContextual"/>
        </w:rPr>
      </w:pPr>
      <w:r w:rsidRPr="00EB703E">
        <w:rPr>
          <w:rFonts w:eastAsia="Aptos"/>
          <w:kern w:val="2"/>
          <w14:ligatures w14:val="standardContextual"/>
        </w:rPr>
        <w:t xml:space="preserve">Öğrencilerin ve akademisyenlerin yeteneklerini ve yetkinliklerini artıracak şekilde </w:t>
      </w:r>
      <w:proofErr w:type="spellStart"/>
      <w:r w:rsidRPr="00EB703E">
        <w:rPr>
          <w:rFonts w:eastAsia="Aptos"/>
          <w:kern w:val="2"/>
          <w14:ligatures w14:val="standardContextual"/>
        </w:rPr>
        <w:t>disiplinlerarası</w:t>
      </w:r>
      <w:proofErr w:type="spellEnd"/>
      <w:r w:rsidRPr="00EB703E">
        <w:rPr>
          <w:rFonts w:eastAsia="Aptos"/>
          <w:kern w:val="2"/>
          <w14:ligatures w14:val="standardContextual"/>
        </w:rPr>
        <w:t xml:space="preserve"> ve uluslararası </w:t>
      </w:r>
      <w:proofErr w:type="gramStart"/>
      <w:r w:rsidRPr="00EB703E">
        <w:rPr>
          <w:rFonts w:eastAsia="Aptos"/>
          <w:kern w:val="2"/>
          <w14:ligatures w14:val="standardContextual"/>
        </w:rPr>
        <w:t>işbirliklerine</w:t>
      </w:r>
      <w:proofErr w:type="gramEnd"/>
      <w:r w:rsidRPr="00EB703E">
        <w:rPr>
          <w:rFonts w:eastAsia="Aptos"/>
          <w:kern w:val="2"/>
          <w14:ligatures w14:val="standardContextual"/>
        </w:rPr>
        <w:t xml:space="preserve"> önem veren,</w:t>
      </w:r>
    </w:p>
    <w:p w14:paraId="5C8CB005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kern w:val="2"/>
          <w14:ligatures w14:val="standardContextual"/>
        </w:rPr>
        <w:t>Ar-</w:t>
      </w:r>
      <w:proofErr w:type="spellStart"/>
      <w:r w:rsidRPr="00EB703E">
        <w:rPr>
          <w:rFonts w:eastAsia="Aptos"/>
          <w:kern w:val="2"/>
          <w14:ligatures w14:val="standardContextual"/>
        </w:rPr>
        <w:t>Ge</w:t>
      </w:r>
      <w:proofErr w:type="spellEnd"/>
      <w:r w:rsidRPr="00EB703E">
        <w:rPr>
          <w:rFonts w:eastAsia="Aptos"/>
          <w:kern w:val="2"/>
          <w14:ligatures w14:val="standardContextual"/>
        </w:rPr>
        <w:t xml:space="preserve"> ve inovasyon konularında küresel düzeyde etkili sonuçlar üreten, girişimciliği teşvik eden ve sanayi ile </w:t>
      </w:r>
      <w:proofErr w:type="gramStart"/>
      <w:r w:rsidRPr="00EB703E">
        <w:rPr>
          <w:rFonts w:eastAsia="Aptos"/>
          <w:kern w:val="2"/>
          <w14:ligatures w14:val="standardContextual"/>
        </w:rPr>
        <w:t>işbirliklerini</w:t>
      </w:r>
      <w:proofErr w:type="gramEnd"/>
      <w:r w:rsidRPr="00EB703E">
        <w:rPr>
          <w:rFonts w:eastAsia="Aptos"/>
          <w:kern w:val="2"/>
          <w14:ligatures w14:val="standardContextual"/>
        </w:rPr>
        <w:t xml:space="preserve"> güçlendiren,</w:t>
      </w:r>
    </w:p>
    <w:p w14:paraId="1C499B91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Özerklik ve hesap verebilirlik ilkelerine dayanan bir yönetim anlayışını benimseyen,</w:t>
      </w:r>
    </w:p>
    <w:p w14:paraId="4EE1D042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Tüm paydaşların memnuniyetini, üniversiteye olan aidiyet ve bağlılık duygularını artıran,</w:t>
      </w:r>
    </w:p>
    <w:p w14:paraId="47FF51DD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Akreditasyon ve hem iç hem de dış denetimler aracılığıyla kalite standartlarının sürekli iyileştirilmesini sağlamayı amaçlamaktadır.</w:t>
      </w:r>
    </w:p>
    <w:p w14:paraId="28F4559E" w14:textId="77777777" w:rsidR="00EB703E" w:rsidRPr="00EB703E" w:rsidRDefault="00EB703E" w:rsidP="0032202E">
      <w:pPr>
        <w:tabs>
          <w:tab w:val="clear" w:pos="4536"/>
        </w:tabs>
        <w:spacing w:after="0" w:line="360" w:lineRule="auto"/>
        <w:ind w:left="720"/>
        <w:contextualSpacing/>
        <w:rPr>
          <w:rFonts w:eastAsia="Aptos"/>
          <w:color w:val="000000"/>
          <w:kern w:val="2"/>
          <w14:ligatures w14:val="standardContextual"/>
        </w:rPr>
      </w:pPr>
    </w:p>
    <w:p w14:paraId="40854911" w14:textId="2B1A6155" w:rsidR="00EB703E" w:rsidRPr="00EB703E" w:rsidRDefault="00EB703E" w:rsidP="0032202E">
      <w:pPr>
        <w:tabs>
          <w:tab w:val="clear" w:pos="4536"/>
          <w:tab w:val="left" w:pos="0"/>
        </w:tabs>
        <w:spacing w:before="240" w:after="240" w:line="360" w:lineRule="auto"/>
        <w:contextualSpacing/>
        <w:jc w:val="left"/>
        <w:rPr>
          <w:rFonts w:eastAsia="Aptos"/>
          <w:b/>
          <w:bCs/>
          <w:color w:val="000000"/>
          <w:kern w:val="2"/>
          <w14:ligatures w14:val="standardContextual"/>
        </w:rPr>
      </w:pPr>
      <w:r w:rsidRPr="00EB703E">
        <w:rPr>
          <w:rFonts w:eastAsia="Aptos"/>
          <w:b/>
          <w:bCs/>
          <w:color w:val="000000"/>
          <w:kern w:val="2"/>
          <w14:ligatures w14:val="standardContextual"/>
        </w:rPr>
        <w:t xml:space="preserve">EĞİTİM VE ÖĞRETİM </w:t>
      </w:r>
      <w:r w:rsidRPr="00EB703E">
        <w:rPr>
          <w:rFonts w:eastAsia="Aptos"/>
          <w:b/>
          <w:bCs/>
          <w:kern w:val="2"/>
          <w14:ligatures w14:val="standardContextual"/>
        </w:rPr>
        <w:t>POLİTİK</w:t>
      </w:r>
      <w:r w:rsidR="007F4C7F">
        <w:rPr>
          <w:rFonts w:eastAsia="Aptos"/>
          <w:b/>
          <w:bCs/>
          <w:kern w:val="2"/>
          <w14:ligatures w14:val="standardContextual"/>
        </w:rPr>
        <w:t>ASI</w:t>
      </w:r>
      <w:r w:rsidRPr="00EB703E">
        <w:rPr>
          <w:rFonts w:eastAsia="Aptos"/>
          <w:b/>
          <w:bCs/>
          <w:color w:val="000000"/>
          <w:kern w:val="2"/>
          <w14:ligatures w14:val="standardContextual"/>
        </w:rPr>
        <w:t xml:space="preserve"> </w:t>
      </w:r>
    </w:p>
    <w:p w14:paraId="5450F3A1" w14:textId="77777777" w:rsidR="00EB703E" w:rsidRPr="00EB703E" w:rsidRDefault="00EB703E" w:rsidP="0032202E">
      <w:pPr>
        <w:tabs>
          <w:tab w:val="clear" w:pos="4536"/>
        </w:tabs>
        <w:spacing w:before="240" w:after="0" w:line="360" w:lineRule="auto"/>
        <w:rPr>
          <w:rFonts w:eastAsia="Times New Roman"/>
          <w:color w:val="000000"/>
          <w:lang w:eastAsia="tr-TR"/>
        </w:rPr>
      </w:pPr>
      <w:r w:rsidRPr="00EB703E">
        <w:rPr>
          <w:rFonts w:eastAsia="Times New Roman"/>
          <w:color w:val="000000"/>
          <w:lang w:eastAsia="tr-TR"/>
        </w:rPr>
        <w:t>Antalya Belek Üniversitesi Yönetim Bilişim Sistemleri Bölümü olarak, uluslararası standartlara uygun, sürdürülebilir ve yenilikçi eğitim materyalleri ve programları sunma hedeflenmektedir.</w:t>
      </w:r>
    </w:p>
    <w:p w14:paraId="409F5B41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r w:rsidRPr="00EB703E">
        <w:rPr>
          <w:rFonts w:eastAsia="Times New Roman"/>
          <w:lang w:val="en-US"/>
        </w:rPr>
        <w:t xml:space="preserve">En yeni </w:t>
      </w:r>
      <w:proofErr w:type="spellStart"/>
      <w:r w:rsidRPr="00EB703E">
        <w:rPr>
          <w:rFonts w:eastAsia="Times New Roman"/>
          <w:lang w:val="en-US"/>
        </w:rPr>
        <w:t>teknolojik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gelişmeleri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entegre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ederek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sektör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trendlerini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yakından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takip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ederek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eğitim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programlarımızı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sürekli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güncellemek</w:t>
      </w:r>
      <w:proofErr w:type="spellEnd"/>
      <w:r w:rsidRPr="00EB703E">
        <w:rPr>
          <w:rFonts w:eastAsia="Times New Roman"/>
          <w:lang w:val="en-US"/>
        </w:rPr>
        <w:t>,</w:t>
      </w:r>
    </w:p>
    <w:p w14:paraId="3C7C9871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Bilimsel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araştırmalar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yaparak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disiplinlerarası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iş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birliklerine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açık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olmak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suretiyle</w:t>
      </w:r>
      <w:proofErr w:type="spellEnd"/>
      <w:r w:rsidRPr="00EB703E">
        <w:rPr>
          <w:rFonts w:eastAsia="Times New Roman"/>
          <w:lang w:val="en-US"/>
        </w:rPr>
        <w:t xml:space="preserve">, hem </w:t>
      </w:r>
      <w:proofErr w:type="spellStart"/>
      <w:r w:rsidRPr="00EB703E">
        <w:rPr>
          <w:rFonts w:eastAsia="Times New Roman"/>
          <w:lang w:val="en-US"/>
        </w:rPr>
        <w:t>beşeri</w:t>
      </w:r>
      <w:proofErr w:type="spellEnd"/>
      <w:r w:rsidRPr="00EB703E">
        <w:rPr>
          <w:rFonts w:eastAsia="Times New Roman"/>
          <w:lang w:val="en-US"/>
        </w:rPr>
        <w:t xml:space="preserve"> hem de </w:t>
      </w:r>
      <w:proofErr w:type="spellStart"/>
      <w:r w:rsidRPr="00EB703E">
        <w:rPr>
          <w:rFonts w:eastAsia="Times New Roman"/>
          <w:lang w:val="en-US"/>
        </w:rPr>
        <w:t>ekonomik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katma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değer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yaratan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profesyoneller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yetiştirmek</w:t>
      </w:r>
      <w:proofErr w:type="spellEnd"/>
      <w:r w:rsidRPr="00EB703E">
        <w:rPr>
          <w:rFonts w:eastAsia="Times New Roman"/>
          <w:lang w:val="en-US"/>
        </w:rPr>
        <w:t>,</w:t>
      </w:r>
    </w:p>
    <w:p w14:paraId="12F0FA00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Aktif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öğrenme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metodolojilerini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benimseyerek</w:t>
      </w:r>
      <w:proofErr w:type="spellEnd"/>
      <w:r w:rsidRPr="00EB703E">
        <w:rPr>
          <w:rFonts w:eastAsia="Times New Roman"/>
          <w:lang w:val="en-US"/>
        </w:rPr>
        <w:t xml:space="preserve">, </w:t>
      </w:r>
      <w:proofErr w:type="spellStart"/>
      <w:r w:rsidRPr="00EB703E">
        <w:rPr>
          <w:rFonts w:eastAsia="Times New Roman"/>
          <w:lang w:val="en-US"/>
        </w:rPr>
        <w:t>öğrencilerin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uygulamalı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beceriler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kazanmalarını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sağlamak</w:t>
      </w:r>
      <w:proofErr w:type="spellEnd"/>
      <w:r w:rsidRPr="00EB703E">
        <w:rPr>
          <w:rFonts w:eastAsia="Times New Roman"/>
          <w:lang w:val="en-US"/>
        </w:rPr>
        <w:t>,</w:t>
      </w:r>
    </w:p>
    <w:p w14:paraId="41B38866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Kişisel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toplumsal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gelişime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katkıda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bulunan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eğitim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ortamı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oluşturarak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öğrencilerin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akademik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profesyonel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kariyerlerine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destek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olmak</w:t>
      </w:r>
      <w:proofErr w:type="spellEnd"/>
      <w:r w:rsidRPr="00EB703E">
        <w:rPr>
          <w:rFonts w:eastAsia="Times New Roman"/>
          <w:lang w:val="en-US"/>
        </w:rPr>
        <w:t>,</w:t>
      </w:r>
    </w:p>
    <w:p w14:paraId="1F8485F3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lastRenderedPageBreak/>
        <w:t>Başarı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izleme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değerlendirme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süreçlerimizde</w:t>
      </w:r>
      <w:proofErr w:type="spellEnd"/>
      <w:r w:rsidRPr="00EB703E">
        <w:rPr>
          <w:rFonts w:eastAsia="Times New Roman"/>
          <w:lang w:val="en-US"/>
        </w:rPr>
        <w:t xml:space="preserve">, </w:t>
      </w:r>
      <w:proofErr w:type="spellStart"/>
      <w:r w:rsidRPr="00EB703E">
        <w:rPr>
          <w:rFonts w:eastAsia="Times New Roman"/>
          <w:lang w:val="en-US"/>
        </w:rPr>
        <w:t>bilgi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birikiminin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yanı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sıra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beceri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yetkinliklerin</w:t>
      </w:r>
      <w:proofErr w:type="spellEnd"/>
      <w:r w:rsidRPr="00EB703E">
        <w:rPr>
          <w:rFonts w:eastAsia="Times New Roman"/>
          <w:lang w:val="en-US"/>
        </w:rPr>
        <w:t xml:space="preserve"> de </w:t>
      </w:r>
      <w:proofErr w:type="spellStart"/>
      <w:r w:rsidRPr="00EB703E">
        <w:rPr>
          <w:rFonts w:eastAsia="Times New Roman"/>
          <w:lang w:val="en-US"/>
        </w:rPr>
        <w:t>göz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önünde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bulundurulmasını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sağlamak</w:t>
      </w:r>
      <w:proofErr w:type="spellEnd"/>
      <w:r w:rsidRPr="00EB703E">
        <w:rPr>
          <w:rFonts w:eastAsia="Times New Roman"/>
          <w:lang w:val="en-US"/>
        </w:rPr>
        <w:t>,</w:t>
      </w:r>
    </w:p>
    <w:p w14:paraId="1B245EE5" w14:textId="1A9620CA" w:rsidR="00EB703E" w:rsidRPr="0032202E" w:rsidRDefault="00EB703E" w:rsidP="0032202E">
      <w:pPr>
        <w:numPr>
          <w:ilvl w:val="0"/>
          <w:numId w:val="59"/>
        </w:numPr>
        <w:tabs>
          <w:tab w:val="clear" w:pos="4536"/>
        </w:tabs>
        <w:spacing w:after="24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Eğitim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öğretim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süreçlerimizi</w:t>
      </w:r>
      <w:proofErr w:type="spellEnd"/>
      <w:r w:rsidRPr="00EB703E">
        <w:rPr>
          <w:rFonts w:eastAsia="Times New Roman"/>
          <w:lang w:val="en-US"/>
        </w:rPr>
        <w:t xml:space="preserve"> "</w:t>
      </w:r>
      <w:proofErr w:type="spellStart"/>
      <w:r w:rsidRPr="00EB703E">
        <w:rPr>
          <w:rFonts w:eastAsia="Times New Roman"/>
          <w:lang w:val="en-US"/>
        </w:rPr>
        <w:t>Planlama-Uygulama-Kontrol-Önlem</w:t>
      </w:r>
      <w:proofErr w:type="spellEnd"/>
      <w:r w:rsidRPr="00EB703E">
        <w:rPr>
          <w:rFonts w:eastAsia="Times New Roman"/>
          <w:lang w:val="en-US"/>
        </w:rPr>
        <w:t xml:space="preserve">" (PUKÖ) </w:t>
      </w:r>
      <w:proofErr w:type="spellStart"/>
      <w:r w:rsidRPr="00EB703E">
        <w:rPr>
          <w:rFonts w:eastAsia="Times New Roman"/>
          <w:lang w:val="en-US"/>
        </w:rPr>
        <w:t>döngüsü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çerçevesinde</w:t>
      </w:r>
      <w:proofErr w:type="spellEnd"/>
      <w:r w:rsidRPr="00EB703E">
        <w:rPr>
          <w:rFonts w:eastAsia="Times New Roman"/>
          <w:lang w:val="en-US"/>
        </w:rPr>
        <w:t xml:space="preserve"> </w:t>
      </w:r>
      <w:r w:rsidRPr="00EB703E">
        <w:rPr>
          <w:rFonts w:eastAsia="Times New Roman"/>
        </w:rPr>
        <w:t>yöneterek süreçlerimizi sürekli iyileştirmek.</w:t>
      </w:r>
    </w:p>
    <w:p w14:paraId="3121E06A" w14:textId="05C766F4" w:rsidR="007F4C7F" w:rsidRDefault="00EB703E" w:rsidP="0032202E">
      <w:pPr>
        <w:tabs>
          <w:tab w:val="clear" w:pos="4536"/>
          <w:tab w:val="left" w:pos="-142"/>
        </w:tabs>
        <w:spacing w:after="240" w:line="360" w:lineRule="auto"/>
        <w:contextualSpacing/>
        <w:jc w:val="left"/>
        <w:rPr>
          <w:rFonts w:eastAsia="Aptos"/>
          <w:b/>
          <w:bCs/>
          <w:kern w:val="2"/>
          <w14:ligatures w14:val="standardContextual"/>
        </w:rPr>
      </w:pPr>
      <w:r w:rsidRPr="00EB703E">
        <w:rPr>
          <w:rFonts w:eastAsia="Aptos"/>
          <w:b/>
          <w:bCs/>
          <w:kern w:val="2"/>
          <w14:ligatures w14:val="standardContextual"/>
        </w:rPr>
        <w:t xml:space="preserve">ARAŞTIRMA-GELİŞTİRME KALİTE </w:t>
      </w:r>
      <w:r w:rsidR="007F4C7F" w:rsidRPr="00EB703E">
        <w:rPr>
          <w:rFonts w:eastAsia="Aptos"/>
          <w:b/>
          <w:bCs/>
          <w:kern w:val="2"/>
          <w14:ligatures w14:val="standardContextual"/>
        </w:rPr>
        <w:t>POLİTİK</w:t>
      </w:r>
      <w:r w:rsidR="007F4C7F" w:rsidRPr="007F4C7F">
        <w:rPr>
          <w:rFonts w:eastAsia="Aptos"/>
          <w:b/>
          <w:bCs/>
          <w:kern w:val="2"/>
          <w14:ligatures w14:val="standardContextual"/>
        </w:rPr>
        <w:t>ASI</w:t>
      </w:r>
    </w:p>
    <w:p w14:paraId="4114504D" w14:textId="554AC985" w:rsidR="00EB703E" w:rsidRPr="00EB703E" w:rsidRDefault="00EB703E" w:rsidP="0032202E">
      <w:pPr>
        <w:tabs>
          <w:tab w:val="clear" w:pos="4536"/>
          <w:tab w:val="left" w:pos="-142"/>
        </w:tabs>
        <w:spacing w:after="0" w:line="360" w:lineRule="auto"/>
        <w:contextualSpacing/>
        <w:rPr>
          <w:rFonts w:eastAsia="Times New Roman"/>
          <w:b/>
          <w:bCs/>
          <w:color w:val="000000"/>
          <w:lang w:eastAsia="tr-TR"/>
        </w:rPr>
      </w:pPr>
      <w:r w:rsidRPr="00EB703E">
        <w:rPr>
          <w:rFonts w:eastAsia="Calibri"/>
          <w:kern w:val="2"/>
          <w:lang w:val="en-US"/>
          <w14:ligatures w14:val="standardContextual"/>
        </w:rPr>
        <w:t xml:space="preserve"> Antalya Belek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Üniversitesi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Yönetim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Bilişim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Sistemleri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Bölümü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,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ulusal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ve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uluslararası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düzeyde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tanınan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bir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araştırma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merkezi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olma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hedeflenmektedir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>.</w:t>
      </w:r>
    </w:p>
    <w:p w14:paraId="4359772F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Sağlık</w:t>
      </w:r>
      <w:proofErr w:type="spellEnd"/>
      <w:r w:rsidRPr="00EB703E">
        <w:rPr>
          <w:rFonts w:eastAsia="Times New Roman"/>
          <w:lang w:val="en-US"/>
        </w:rPr>
        <w:t xml:space="preserve">, </w:t>
      </w:r>
      <w:proofErr w:type="spellStart"/>
      <w:r w:rsidRPr="00EB703E">
        <w:rPr>
          <w:rFonts w:eastAsia="Times New Roman"/>
          <w:lang w:val="en-US"/>
        </w:rPr>
        <w:t>mühendislik</w:t>
      </w:r>
      <w:proofErr w:type="spellEnd"/>
      <w:r w:rsidRPr="00EB703E">
        <w:rPr>
          <w:rFonts w:eastAsia="Times New Roman"/>
          <w:lang w:val="en-US"/>
        </w:rPr>
        <w:t xml:space="preserve">, </w:t>
      </w:r>
      <w:proofErr w:type="spellStart"/>
      <w:r w:rsidRPr="00EB703E">
        <w:rPr>
          <w:rFonts w:eastAsia="Times New Roman"/>
          <w:lang w:val="en-US"/>
        </w:rPr>
        <w:t>teknoloji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fen </w:t>
      </w:r>
      <w:proofErr w:type="spellStart"/>
      <w:r w:rsidRPr="00EB703E">
        <w:rPr>
          <w:rFonts w:eastAsia="Times New Roman"/>
          <w:lang w:val="en-US"/>
        </w:rPr>
        <w:t>bilimlerindeki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öncelikli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araştırma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alanlarına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odaklanarak</w:t>
      </w:r>
      <w:proofErr w:type="spellEnd"/>
      <w:r w:rsidRPr="00EB703E">
        <w:rPr>
          <w:rFonts w:eastAsia="Times New Roman"/>
          <w:lang w:val="en-US"/>
        </w:rPr>
        <w:t xml:space="preserve">, </w:t>
      </w:r>
      <w:proofErr w:type="spellStart"/>
      <w:r w:rsidRPr="00EB703E">
        <w:rPr>
          <w:rFonts w:eastAsia="Times New Roman"/>
          <w:lang w:val="en-US"/>
        </w:rPr>
        <w:t>disiplinler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arası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yenilikçi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araştırmalar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geliştirmek</w:t>
      </w:r>
      <w:proofErr w:type="spellEnd"/>
      <w:r w:rsidRPr="00EB703E">
        <w:rPr>
          <w:rFonts w:eastAsia="Times New Roman"/>
          <w:lang w:val="en-US"/>
        </w:rPr>
        <w:t>,</w:t>
      </w:r>
    </w:p>
    <w:p w14:paraId="5A3E1E6A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Ulusal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uluslararası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işbirlikleri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kurarak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dış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fonlarla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desteklenen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Araştırma</w:t>
      </w:r>
      <w:proofErr w:type="spellEnd"/>
      <w:r w:rsidRPr="00EB703E">
        <w:rPr>
          <w:rFonts w:eastAsia="Times New Roman"/>
          <w:lang w:val="en-US"/>
        </w:rPr>
        <w:t>-Geliştirme (</w:t>
      </w:r>
      <w:proofErr w:type="spellStart"/>
      <w:r w:rsidRPr="00EB703E">
        <w:rPr>
          <w:rFonts w:eastAsia="Times New Roman"/>
          <w:lang w:val="en-US"/>
        </w:rPr>
        <w:t>Ar</w:t>
      </w:r>
      <w:proofErr w:type="spellEnd"/>
      <w:r w:rsidRPr="00EB703E">
        <w:rPr>
          <w:rFonts w:eastAsia="Times New Roman"/>
          <w:lang w:val="en-US"/>
        </w:rPr>
        <w:t xml:space="preserve">-Ge) </w:t>
      </w:r>
      <w:proofErr w:type="spellStart"/>
      <w:r w:rsidRPr="00EB703E">
        <w:rPr>
          <w:rFonts w:eastAsia="Times New Roman"/>
          <w:lang w:val="en-US"/>
        </w:rPr>
        <w:t>projelerini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teşvik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etmek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bu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projelerin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çıktılarını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sürekli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izlemek</w:t>
      </w:r>
      <w:proofErr w:type="spellEnd"/>
      <w:r w:rsidRPr="00EB703E">
        <w:rPr>
          <w:rFonts w:eastAsia="Times New Roman"/>
          <w:lang w:val="en-US"/>
        </w:rPr>
        <w:t>,</w:t>
      </w:r>
    </w:p>
    <w:p w14:paraId="1C21A845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Eğitim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teknolojileri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sağlık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bilimlerine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kadar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uzanan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geniş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yelpazede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bilgi</w:t>
      </w:r>
      <w:proofErr w:type="spellEnd"/>
      <w:r w:rsidRPr="00EB703E">
        <w:rPr>
          <w:rFonts w:eastAsia="Times New Roman"/>
          <w:lang w:val="en-US"/>
        </w:rPr>
        <w:t xml:space="preserve">, </w:t>
      </w:r>
      <w:proofErr w:type="spellStart"/>
      <w:r w:rsidRPr="00EB703E">
        <w:rPr>
          <w:rFonts w:eastAsia="Times New Roman"/>
          <w:lang w:val="en-US"/>
        </w:rPr>
        <w:t>beceri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deneyimleri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toplumsal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katkı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bilinciyle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paylaşmak</w:t>
      </w:r>
      <w:proofErr w:type="spellEnd"/>
      <w:r w:rsidRPr="00EB703E">
        <w:rPr>
          <w:rFonts w:eastAsia="Times New Roman"/>
          <w:lang w:val="en-US"/>
        </w:rPr>
        <w:t>,</w:t>
      </w:r>
    </w:p>
    <w:p w14:paraId="524117C9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Üniversite</w:t>
      </w:r>
      <w:proofErr w:type="spellEnd"/>
      <w:r w:rsidRPr="00EB703E">
        <w:rPr>
          <w:rFonts w:eastAsia="Times New Roman"/>
          <w:lang w:val="en-US"/>
        </w:rPr>
        <w:t xml:space="preserve">-Sanayi-Kamu </w:t>
      </w:r>
      <w:proofErr w:type="spellStart"/>
      <w:r w:rsidRPr="00EB703E">
        <w:rPr>
          <w:rFonts w:eastAsia="Times New Roman"/>
          <w:lang w:val="en-US"/>
        </w:rPr>
        <w:t>iş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birliği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içinde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yürütülen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bilimsel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araştırmaların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ekonomik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değere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dönüşümünü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sağlayarak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girişimcilik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yenilikçilik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ruhunu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güçlendirmek</w:t>
      </w:r>
      <w:proofErr w:type="spellEnd"/>
      <w:r w:rsidRPr="00EB703E">
        <w:rPr>
          <w:rFonts w:eastAsia="Times New Roman"/>
          <w:lang w:val="en-US"/>
        </w:rPr>
        <w:t>,</w:t>
      </w:r>
    </w:p>
    <w:p w14:paraId="263A671E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İç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dış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kaynakları</w:t>
      </w:r>
      <w:proofErr w:type="spellEnd"/>
      <w:r w:rsidRPr="00EB703E">
        <w:rPr>
          <w:rFonts w:eastAsia="Times New Roman"/>
          <w:lang w:val="en-US"/>
        </w:rPr>
        <w:t xml:space="preserve">, </w:t>
      </w:r>
      <w:proofErr w:type="spellStart"/>
      <w:r w:rsidRPr="00EB703E">
        <w:rPr>
          <w:rFonts w:eastAsia="Times New Roman"/>
          <w:lang w:val="en-US"/>
        </w:rPr>
        <w:t>ülkemiz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için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öncelikli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alanlardaki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çalışmalara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yönlendirmek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bölümümüzün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araştırma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altyapısını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sürekli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güçlendirmek</w:t>
      </w:r>
      <w:proofErr w:type="spellEnd"/>
      <w:r w:rsidRPr="00EB703E">
        <w:rPr>
          <w:rFonts w:eastAsia="Times New Roman"/>
          <w:lang w:val="en-US"/>
        </w:rPr>
        <w:t>,</w:t>
      </w:r>
    </w:p>
    <w:p w14:paraId="2992AF5C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Yurtiçi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yurtdışı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</w:t>
      </w:r>
      <w:proofErr w:type="spellEnd"/>
      <w:r w:rsidRPr="00EB703E">
        <w:rPr>
          <w:rFonts w:eastAsia="Times New Roman"/>
          <w:lang w:val="en-US"/>
        </w:rPr>
        <w:t xml:space="preserve">-Ge </w:t>
      </w:r>
      <w:proofErr w:type="spellStart"/>
      <w:r w:rsidRPr="00EB703E">
        <w:rPr>
          <w:rFonts w:eastAsia="Times New Roman"/>
          <w:lang w:val="en-US"/>
        </w:rPr>
        <w:t>destek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programlarına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aktif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katılım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sağlayarak</w:t>
      </w:r>
      <w:proofErr w:type="spellEnd"/>
      <w:r w:rsidRPr="00EB703E">
        <w:rPr>
          <w:rFonts w:eastAsia="Times New Roman"/>
          <w:lang w:val="en-US"/>
        </w:rPr>
        <w:t xml:space="preserve">, </w:t>
      </w:r>
      <w:proofErr w:type="spellStart"/>
      <w:r w:rsidRPr="00EB703E">
        <w:rPr>
          <w:rFonts w:eastAsia="Times New Roman"/>
          <w:lang w:val="en-US"/>
        </w:rPr>
        <w:t>araştırmacıların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yetkinliklerini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artıracak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eğitim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etkinlikler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düzenlemek</w:t>
      </w:r>
      <w:proofErr w:type="spellEnd"/>
      <w:r w:rsidRPr="00EB703E">
        <w:rPr>
          <w:rFonts w:eastAsia="Times New Roman"/>
          <w:lang w:val="en-US"/>
        </w:rPr>
        <w:t>,</w:t>
      </w:r>
    </w:p>
    <w:p w14:paraId="7B5E1E81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Stratejik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planlar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doğrultusunda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araştırma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çıktılarını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başarılarını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düzenli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olarak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değerlendirmek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iyileştirmeler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yapmak</w:t>
      </w:r>
      <w:proofErr w:type="spellEnd"/>
      <w:r w:rsidRPr="00EB703E">
        <w:rPr>
          <w:rFonts w:eastAsia="Times New Roman"/>
          <w:lang w:val="en-US"/>
        </w:rPr>
        <w:t>,</w:t>
      </w:r>
    </w:p>
    <w:p w14:paraId="64C54302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Akademisyen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öğrenciler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için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araştırmanın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eğitimin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temel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bileşeni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olduğunu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vurgulayarak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bilimsel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zenginliği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motivasyonu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artırmak</w:t>
      </w:r>
      <w:proofErr w:type="spellEnd"/>
      <w:r w:rsidRPr="00EB703E">
        <w:rPr>
          <w:rFonts w:eastAsia="Times New Roman"/>
          <w:lang w:val="en-US"/>
        </w:rPr>
        <w:t>,</w:t>
      </w:r>
    </w:p>
    <w:p w14:paraId="6B5D772E" w14:textId="09C04549" w:rsidR="007F4C7F" w:rsidRPr="0032202E" w:rsidRDefault="00EB703E" w:rsidP="0032202E">
      <w:pPr>
        <w:numPr>
          <w:ilvl w:val="0"/>
          <w:numId w:val="59"/>
        </w:numPr>
        <w:tabs>
          <w:tab w:val="clear" w:pos="4536"/>
        </w:tabs>
        <w:spacing w:before="240"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Sürdürülebilir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eğitim-bilim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ekosistemi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oluşturarak</w:t>
      </w:r>
      <w:proofErr w:type="spellEnd"/>
      <w:r w:rsidRPr="00EB703E">
        <w:rPr>
          <w:rFonts w:eastAsia="Times New Roman"/>
          <w:lang w:val="en-US"/>
        </w:rPr>
        <w:t xml:space="preserve">, </w:t>
      </w:r>
      <w:proofErr w:type="spellStart"/>
      <w:r w:rsidRPr="00EB703E">
        <w:rPr>
          <w:rFonts w:eastAsia="Times New Roman"/>
          <w:lang w:val="en-US"/>
        </w:rPr>
        <w:t>bilgi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teknolojinin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insana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fayda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sağlama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ilkesini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yaşam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boyu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öğrenme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sürecine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entegre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etmek</w:t>
      </w:r>
      <w:proofErr w:type="spellEnd"/>
      <w:r w:rsidRPr="00EB703E">
        <w:rPr>
          <w:rFonts w:eastAsia="Times New Roman"/>
          <w:lang w:val="en-US"/>
        </w:rPr>
        <w:t>.</w:t>
      </w:r>
    </w:p>
    <w:p w14:paraId="21253281" w14:textId="76F5DA00" w:rsidR="00EB703E" w:rsidRPr="00EB703E" w:rsidRDefault="00EB703E" w:rsidP="0032202E">
      <w:pPr>
        <w:tabs>
          <w:tab w:val="clear" w:pos="4536"/>
        </w:tabs>
        <w:spacing w:before="240" w:after="0" w:line="360" w:lineRule="auto"/>
        <w:rPr>
          <w:rFonts w:eastAsia="Times New Roman"/>
          <w:b/>
          <w:bCs/>
          <w:lang w:eastAsia="tr-TR"/>
        </w:rPr>
      </w:pPr>
      <w:r w:rsidRPr="00EB703E">
        <w:rPr>
          <w:rFonts w:eastAsia="Times New Roman"/>
          <w:b/>
          <w:bCs/>
          <w:color w:val="000000"/>
          <w:lang w:eastAsia="tr-TR"/>
        </w:rPr>
        <w:t xml:space="preserve">HESAP VERİLEBİLİRLİK </w:t>
      </w:r>
      <w:r w:rsidR="007F4C7F" w:rsidRPr="00EB703E">
        <w:rPr>
          <w:rFonts w:eastAsia="Times New Roman"/>
          <w:b/>
          <w:bCs/>
          <w:lang w:eastAsia="tr-TR"/>
        </w:rPr>
        <w:t>POLİTİK</w:t>
      </w:r>
      <w:r w:rsidR="007F4C7F" w:rsidRPr="007F4C7F">
        <w:rPr>
          <w:rFonts w:eastAsia="Times New Roman"/>
          <w:b/>
          <w:bCs/>
          <w:lang w:eastAsia="tr-TR"/>
        </w:rPr>
        <w:t>ASI</w:t>
      </w:r>
    </w:p>
    <w:p w14:paraId="2B0F4A51" w14:textId="4002577E" w:rsidR="00EB703E" w:rsidRPr="00EB703E" w:rsidRDefault="00EB703E" w:rsidP="0032202E">
      <w:pPr>
        <w:tabs>
          <w:tab w:val="clear" w:pos="4536"/>
        </w:tabs>
        <w:spacing w:after="0" w:line="360" w:lineRule="auto"/>
        <w:rPr>
          <w:rFonts w:eastAsia="Times New Roman"/>
          <w:lang w:eastAsia="tr-TR"/>
        </w:rPr>
      </w:pPr>
      <w:r w:rsidRPr="00EB703E">
        <w:rPr>
          <w:rFonts w:eastAsia="Times New Roman"/>
          <w:lang w:eastAsia="tr-TR"/>
        </w:rPr>
        <w:t>Antalya Belek Üniversitesi Yönetim Bilişim Sistemleri Bölümü olarak hesap verilebilirlik politika</w:t>
      </w:r>
      <w:r w:rsidR="007F4C7F">
        <w:rPr>
          <w:rFonts w:eastAsia="Times New Roman"/>
          <w:lang w:eastAsia="tr-TR"/>
        </w:rPr>
        <w:t>ları</w:t>
      </w:r>
      <w:r w:rsidRPr="00EB703E">
        <w:rPr>
          <w:rFonts w:eastAsia="Times New Roman"/>
          <w:lang w:eastAsia="tr-TR"/>
        </w:rPr>
        <w:t xml:space="preserve"> şunlardır:</w:t>
      </w:r>
    </w:p>
    <w:p w14:paraId="04A2DBE6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Eğitim-öğretim</w:t>
      </w:r>
      <w:proofErr w:type="spellEnd"/>
      <w:r w:rsidRPr="00EB703E">
        <w:rPr>
          <w:rFonts w:eastAsia="Times New Roman"/>
          <w:lang w:val="en-US"/>
        </w:rPr>
        <w:t xml:space="preserve">, </w:t>
      </w:r>
      <w:proofErr w:type="spellStart"/>
      <w:r w:rsidRPr="00EB703E">
        <w:rPr>
          <w:rFonts w:eastAsia="Times New Roman"/>
          <w:lang w:val="en-US"/>
        </w:rPr>
        <w:t>araştırma-geliştirme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faaliyetlerini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kamuoyu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ile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paylaşmak</w:t>
      </w:r>
      <w:proofErr w:type="spellEnd"/>
      <w:r w:rsidRPr="00EB703E">
        <w:rPr>
          <w:rFonts w:eastAsia="Times New Roman"/>
          <w:lang w:val="en-US"/>
        </w:rPr>
        <w:t>,</w:t>
      </w:r>
    </w:p>
    <w:p w14:paraId="76DAAB31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lastRenderedPageBreak/>
        <w:t>Dürüstlük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tarafsızlıktan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ödün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vermemek</w:t>
      </w:r>
      <w:proofErr w:type="spellEnd"/>
      <w:r w:rsidRPr="00EB703E">
        <w:rPr>
          <w:rFonts w:eastAsia="Times New Roman"/>
          <w:lang w:val="en-US"/>
        </w:rPr>
        <w:t>,</w:t>
      </w:r>
    </w:p>
    <w:p w14:paraId="3DE6702F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Yürütülen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hizmetlerde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şeffaflığı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sağlamak</w:t>
      </w:r>
      <w:proofErr w:type="spellEnd"/>
      <w:r w:rsidRPr="00EB703E">
        <w:rPr>
          <w:rFonts w:eastAsia="Times New Roman"/>
          <w:lang w:val="en-US"/>
        </w:rPr>
        <w:t>,</w:t>
      </w:r>
    </w:p>
    <w:p w14:paraId="4C6A9ECE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Üniversite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içindeki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tüm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süreçlerin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kalitesini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güvence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altına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almak</w:t>
      </w:r>
      <w:proofErr w:type="spellEnd"/>
      <w:r w:rsidRPr="00EB703E">
        <w:rPr>
          <w:rFonts w:eastAsia="Times New Roman"/>
          <w:lang w:val="en-US"/>
        </w:rPr>
        <w:t>,</w:t>
      </w:r>
    </w:p>
    <w:p w14:paraId="315B159C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Görevlerini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yerine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getirirken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kamu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hizmeti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bilinci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ile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hareket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ederek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mevzuata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uygun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davranmak</w:t>
      </w:r>
      <w:proofErr w:type="spellEnd"/>
      <w:r w:rsidRPr="00EB703E">
        <w:rPr>
          <w:rFonts w:eastAsia="Times New Roman"/>
          <w:lang w:val="en-US"/>
        </w:rPr>
        <w:t>,</w:t>
      </w:r>
    </w:p>
    <w:p w14:paraId="0E58D42C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Bilgilerin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doğruluğu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güvenirliğini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güvence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altına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almak</w:t>
      </w:r>
      <w:proofErr w:type="spellEnd"/>
      <w:r w:rsidRPr="00EB703E">
        <w:rPr>
          <w:rFonts w:eastAsia="Times New Roman"/>
          <w:lang w:val="en-US"/>
        </w:rPr>
        <w:t>,</w:t>
      </w:r>
    </w:p>
    <w:p w14:paraId="00D04EF1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Kaynakların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etkin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verimli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şekilde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kullanılmasını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sağlamak</w:t>
      </w:r>
      <w:proofErr w:type="spellEnd"/>
      <w:r w:rsidRPr="00EB703E">
        <w:rPr>
          <w:rFonts w:eastAsia="Times New Roman"/>
          <w:lang w:val="en-US"/>
        </w:rPr>
        <w:t>,</w:t>
      </w:r>
    </w:p>
    <w:p w14:paraId="52711472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Times New Roman"/>
          <w:lang w:val="en-US"/>
        </w:rPr>
      </w:pPr>
      <w:proofErr w:type="spellStart"/>
      <w:r w:rsidRPr="00EB703E">
        <w:rPr>
          <w:rFonts w:eastAsia="Times New Roman"/>
          <w:lang w:val="en-US"/>
        </w:rPr>
        <w:t>İç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dış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paydaşların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bilgi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taleplerini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zamanında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doğru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olarak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karşılamak</w:t>
      </w:r>
      <w:proofErr w:type="spellEnd"/>
      <w:r w:rsidRPr="00EB703E">
        <w:rPr>
          <w:rFonts w:eastAsia="Times New Roman"/>
          <w:lang w:val="en-US"/>
        </w:rPr>
        <w:t>,</w:t>
      </w:r>
    </w:p>
    <w:p w14:paraId="572A294A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before="240" w:after="120" w:line="360" w:lineRule="auto"/>
        <w:rPr>
          <w:rFonts w:eastAsia="Times New Roman"/>
          <w:lang w:val="en-US"/>
        </w:rPr>
      </w:pPr>
      <w:r w:rsidRPr="00EB703E">
        <w:rPr>
          <w:rFonts w:eastAsia="Calibri"/>
          <w:sz w:val="22"/>
          <w:szCs w:val="22"/>
          <w:lang w:val="en-US"/>
        </w:rPr>
        <w:t>Antalya Belek</w:t>
      </w:r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Üniversitesi’nin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stratejik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planında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yer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alan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amaç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hedefler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ile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misyon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vizyona</w:t>
      </w:r>
      <w:proofErr w:type="spellEnd"/>
      <w:r w:rsidRPr="00EB703E">
        <w:rPr>
          <w:rFonts w:eastAsia="Times New Roman"/>
          <w:lang w:val="en-US"/>
        </w:rPr>
        <w:t xml:space="preserve"> ne </w:t>
      </w:r>
      <w:proofErr w:type="spellStart"/>
      <w:r w:rsidRPr="00EB703E">
        <w:rPr>
          <w:rFonts w:eastAsia="Times New Roman"/>
          <w:lang w:val="en-US"/>
        </w:rPr>
        <w:t>ölçüde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ulaşıldığını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takip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ederek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gerekli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iyileştirme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çalışmalarını</w:t>
      </w:r>
      <w:proofErr w:type="spellEnd"/>
      <w:r w:rsidRPr="00EB703E">
        <w:rPr>
          <w:rFonts w:eastAsia="Times New Roman"/>
          <w:lang w:val="en-US"/>
        </w:rPr>
        <w:t xml:space="preserve"> </w:t>
      </w:r>
      <w:proofErr w:type="spellStart"/>
      <w:r w:rsidRPr="00EB703E">
        <w:rPr>
          <w:rFonts w:eastAsia="Times New Roman"/>
          <w:lang w:val="en-US"/>
        </w:rPr>
        <w:t>yapmak</w:t>
      </w:r>
      <w:proofErr w:type="spellEnd"/>
      <w:r w:rsidRPr="00EB703E">
        <w:rPr>
          <w:rFonts w:eastAsia="Times New Roman"/>
          <w:lang w:val="en-US"/>
        </w:rPr>
        <w:t>.</w:t>
      </w:r>
    </w:p>
    <w:p w14:paraId="077ED2F4" w14:textId="2D941386" w:rsidR="00EB703E" w:rsidRPr="00EB703E" w:rsidRDefault="00EB703E" w:rsidP="0032202E">
      <w:pPr>
        <w:tabs>
          <w:tab w:val="clear" w:pos="4536"/>
        </w:tabs>
        <w:spacing w:before="240" w:after="0" w:line="360" w:lineRule="auto"/>
        <w:jc w:val="left"/>
        <w:rPr>
          <w:rFonts w:eastAsia="Aptos"/>
          <w:b/>
          <w:bCs/>
          <w:kern w:val="2"/>
          <w14:ligatures w14:val="standardContextual"/>
        </w:rPr>
      </w:pPr>
      <w:r w:rsidRPr="00EB703E">
        <w:rPr>
          <w:rFonts w:eastAsia="Aptos"/>
          <w:b/>
          <w:bCs/>
          <w:kern w:val="2"/>
          <w14:ligatures w14:val="standardContextual"/>
        </w:rPr>
        <w:t xml:space="preserve">TOPLUMSAL KATKI </w:t>
      </w:r>
      <w:r w:rsidR="007F4C7F" w:rsidRPr="00EB703E">
        <w:rPr>
          <w:rFonts w:eastAsia="Aptos"/>
          <w:b/>
          <w:bCs/>
          <w:kern w:val="2"/>
          <w14:ligatures w14:val="standardContextual"/>
        </w:rPr>
        <w:t>POLİTİK</w:t>
      </w:r>
      <w:r w:rsidR="007F4C7F" w:rsidRPr="007F4C7F">
        <w:rPr>
          <w:rFonts w:eastAsia="Aptos"/>
          <w:b/>
          <w:bCs/>
          <w:kern w:val="2"/>
          <w14:ligatures w14:val="standardContextual"/>
        </w:rPr>
        <w:t>ASI</w:t>
      </w:r>
    </w:p>
    <w:p w14:paraId="276F90AA" w14:textId="77777777" w:rsidR="00EB703E" w:rsidRPr="00EB703E" w:rsidRDefault="00EB703E" w:rsidP="0032202E">
      <w:pPr>
        <w:tabs>
          <w:tab w:val="clear" w:pos="4536"/>
        </w:tabs>
        <w:spacing w:after="0" w:line="360" w:lineRule="auto"/>
        <w:rPr>
          <w:rFonts w:eastAsia="Calibri"/>
          <w:kern w:val="2"/>
          <w:lang w:val="en-US"/>
          <w14:ligatures w14:val="standardContextual"/>
        </w:rPr>
      </w:pPr>
      <w:r w:rsidRPr="00EB703E">
        <w:rPr>
          <w:rFonts w:eastAsia="Calibri"/>
          <w:kern w:val="2"/>
          <w:lang w:val="en-US"/>
          <w14:ligatures w14:val="standardContextual"/>
        </w:rPr>
        <w:t xml:space="preserve">Antalya Belek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Üniversitesi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Yönetim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Bilişim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Sistemleri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Bölümü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,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yaşam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boyu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öğrenme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ve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sürekli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gelişimi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desteklemek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,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bilgiyi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toplumla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paylaşmak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ve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ulusal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ile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uluslararası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alanda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saygın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bir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konuma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erişmek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misyonunu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benimsemiştir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. Bu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amaçla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,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bölüm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olarak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belirlenen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toplumsal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katkı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politikalarımız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şunlardır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>:</w:t>
      </w:r>
    </w:p>
    <w:p w14:paraId="7E0DA22B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Toplumun ihtiyaç duyduğu bilgi teknolojileri ve yönetim sistemleri alanında eğitim-öğretim faaliyetlerini yürütmek ve sosyal sorumluluk projeleri ile farkındalığı artırmak,</w:t>
      </w:r>
    </w:p>
    <w:p w14:paraId="6C1358B5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Ekonomik, sosyal, kültürel ve teknolojik gelişmelere katkıda bulunmak için bilimsel araştırmalar ve danışmanlık hizmetleri sunmak,</w:t>
      </w:r>
    </w:p>
    <w:p w14:paraId="3D3F1928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 xml:space="preserve">Yönetim bilişim sistemleri perspektifinden yerel yönetimlerle </w:t>
      </w:r>
      <w:proofErr w:type="gramStart"/>
      <w:r w:rsidRPr="00EB703E">
        <w:rPr>
          <w:rFonts w:eastAsia="Aptos"/>
          <w:color w:val="000000"/>
          <w:kern w:val="2"/>
          <w14:ligatures w14:val="standardContextual"/>
        </w:rPr>
        <w:t>işbirliği</w:t>
      </w:r>
      <w:proofErr w:type="gramEnd"/>
      <w:r w:rsidRPr="00EB703E">
        <w:rPr>
          <w:rFonts w:eastAsia="Aptos"/>
          <w:color w:val="000000"/>
          <w:kern w:val="2"/>
          <w14:ligatures w14:val="standardContextual"/>
        </w:rPr>
        <w:t xml:space="preserve"> içinde projeler geliştirmek ve bu projelerle yerel kalkınmayı desteklemek,</w:t>
      </w:r>
    </w:p>
    <w:p w14:paraId="38B4E1AF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 xml:space="preserve">Teknoloji Geliştirme Bölgesi, Teknoloji Transfer Ofisi ve Araştırma-Geliştirme Merkezleri ile </w:t>
      </w:r>
      <w:proofErr w:type="gramStart"/>
      <w:r w:rsidRPr="00EB703E">
        <w:rPr>
          <w:rFonts w:eastAsia="Aptos"/>
          <w:color w:val="000000"/>
          <w:kern w:val="2"/>
          <w14:ligatures w14:val="standardContextual"/>
        </w:rPr>
        <w:t>işbirliği</w:t>
      </w:r>
      <w:proofErr w:type="gramEnd"/>
      <w:r w:rsidRPr="00EB703E">
        <w:rPr>
          <w:rFonts w:eastAsia="Aptos"/>
          <w:color w:val="000000"/>
          <w:kern w:val="2"/>
          <w14:ligatures w14:val="standardContextual"/>
        </w:rPr>
        <w:t xml:space="preserve"> yaparak, yeni teknolojik uygulamaların ve ürünlerin geliştirilmesine öncülük etmek ve bunları sanayi ortamına entegre etmek,</w:t>
      </w:r>
    </w:p>
    <w:p w14:paraId="0E42BB5D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 xml:space="preserve">Üniversite-sanayi </w:t>
      </w:r>
      <w:proofErr w:type="gramStart"/>
      <w:r w:rsidRPr="00EB703E">
        <w:rPr>
          <w:rFonts w:eastAsia="Aptos"/>
          <w:color w:val="000000"/>
          <w:kern w:val="2"/>
          <w14:ligatures w14:val="standardContextual"/>
        </w:rPr>
        <w:t>işbirliği</w:t>
      </w:r>
      <w:proofErr w:type="gramEnd"/>
      <w:r w:rsidRPr="00EB703E">
        <w:rPr>
          <w:rFonts w:eastAsia="Aptos"/>
          <w:color w:val="000000"/>
          <w:kern w:val="2"/>
          <w14:ligatures w14:val="standardContextual"/>
        </w:rPr>
        <w:t xml:space="preserve"> çerçevesinde sanayi ihtiyaçlarına yönelik araştırma ve geliştirme faaliyetlerini desteklemek, bu süreçte nitelikli bilim insanları yetiştirmek,</w:t>
      </w:r>
    </w:p>
    <w:p w14:paraId="311A8885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Yönetim bilişim sistemleri alanında çevresel sorunlara duyarlı çözümler üretmek, sürdürülebilirlik konularında öneriler geliştirmek ve toplumda bu yönde bir bilinç oluşturmak,</w:t>
      </w:r>
    </w:p>
    <w:p w14:paraId="61F436D3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lastRenderedPageBreak/>
        <w:t>Bölgenin kültürel mirasını dijitalleştirme ve koruma projeleri ile tanıtmak ve bu zenginlikleri gelecek nesillere aktarmak,</w:t>
      </w:r>
    </w:p>
    <w:p w14:paraId="70E814B1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Sağlık bilgi sistemleri üzerine çalışmalar yaparak sağlık hizmetlerinin daha etkin yürütülmesine katkıda bulunmak ve sağlık bilincini artırmak,</w:t>
      </w:r>
    </w:p>
    <w:p w14:paraId="126EB48D" w14:textId="77777777" w:rsidR="00EB703E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EB703E">
        <w:rPr>
          <w:rFonts w:eastAsia="Aptos"/>
          <w:color w:val="000000"/>
          <w:kern w:val="2"/>
          <w14:ligatures w14:val="standardContextual"/>
        </w:rPr>
        <w:t>Dijital spor ve sağlık teknolojilerini teşvik ederek, herkes için erişilebilir ve kapsayıcı spor faaliyetleri geliştirmek,</w:t>
      </w:r>
    </w:p>
    <w:p w14:paraId="0A59E531" w14:textId="0646FE5B" w:rsidR="00EB5DD7" w:rsidRPr="00EB703E" w:rsidRDefault="00EB703E" w:rsidP="0032202E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Calibri"/>
          <w:kern w:val="2"/>
          <w:lang w:val="en-US"/>
          <w14:ligatures w14:val="standardContextual"/>
        </w:rPr>
      </w:pPr>
      <w:r w:rsidRPr="00EB703E">
        <w:rPr>
          <w:rFonts w:eastAsia="Calibri"/>
          <w:kern w:val="2"/>
          <w:lang w:val="en-US"/>
          <w14:ligatures w14:val="standardContextual"/>
        </w:rPr>
        <w:t xml:space="preserve">Özel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gereksinimli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r w:rsidRPr="00EB703E">
        <w:rPr>
          <w:rFonts w:eastAsia="Aptos"/>
          <w:color w:val="000000"/>
          <w:kern w:val="2"/>
          <w14:ligatures w14:val="standardContextual"/>
        </w:rPr>
        <w:t>bireyler</w:t>
      </w:r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için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dijital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erişim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ve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eğitim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araçları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geliştirerek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,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bölümümüzün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fiziki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ve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teknolojik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altyapısını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bu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ihtiyaçlara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uygun</w:t>
      </w:r>
      <w:proofErr w:type="spellEnd"/>
      <w:r w:rsidRPr="00EB703E">
        <w:rPr>
          <w:rFonts w:eastAsia="Calibri"/>
          <w:kern w:val="2"/>
          <w:lang w:val="en-US"/>
          <w14:ligatures w14:val="standardContextual"/>
        </w:rPr>
        <w:t xml:space="preserve"> hale </w:t>
      </w:r>
      <w:proofErr w:type="spellStart"/>
      <w:r w:rsidRPr="00EB703E">
        <w:rPr>
          <w:rFonts w:eastAsia="Calibri"/>
          <w:kern w:val="2"/>
          <w:lang w:val="en-US"/>
          <w14:ligatures w14:val="standardContextual"/>
        </w:rPr>
        <w:t>getirmek</w:t>
      </w:r>
      <w:proofErr w:type="spellEnd"/>
      <w:r>
        <w:rPr>
          <w:rFonts w:eastAsia="Calibri"/>
          <w:kern w:val="2"/>
          <w:lang w:val="en-US"/>
          <w14:ligatures w14:val="standardContextual"/>
        </w:rPr>
        <w:t>.</w:t>
      </w:r>
    </w:p>
    <w:p w14:paraId="479E1F53" w14:textId="77777777" w:rsidR="00EB5DD7" w:rsidRDefault="00EB5DD7" w:rsidP="0032202E">
      <w:pPr>
        <w:spacing w:line="360" w:lineRule="auto"/>
      </w:pPr>
    </w:p>
    <w:p w14:paraId="4B1F9684" w14:textId="77777777" w:rsidR="00EB5DD7" w:rsidRPr="00EB5DD7" w:rsidRDefault="00EB5DD7" w:rsidP="0032202E">
      <w:pPr>
        <w:spacing w:line="360" w:lineRule="auto"/>
      </w:pP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8F78" w14:textId="77777777" w:rsidR="00253756" w:rsidRDefault="00253756" w:rsidP="003A6F6D">
      <w:r>
        <w:separator/>
      </w:r>
    </w:p>
  </w:endnote>
  <w:endnote w:type="continuationSeparator" w:id="0">
    <w:p w14:paraId="727AD587" w14:textId="77777777" w:rsidR="00253756" w:rsidRDefault="0025375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CA0289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2F3A44F" w:rsidR="00CA0289" w:rsidRPr="00FA108B" w:rsidRDefault="00CA0289" w:rsidP="00CA0289">
          <w:pPr>
            <w:pStyle w:val="AltBilgi"/>
            <w:jc w:val="center"/>
          </w:pPr>
          <w:r w:rsidRPr="0050320F">
            <w:t>Yönetim Bilişim Sistemleri Bölüm Başkanlığı</w:t>
          </w:r>
        </w:p>
      </w:tc>
      <w:tc>
        <w:tcPr>
          <w:tcW w:w="3717" w:type="dxa"/>
          <w:vAlign w:val="center"/>
        </w:tcPr>
        <w:p w14:paraId="1146F847" w14:textId="5AFAEF68" w:rsidR="00CA0289" w:rsidRPr="00514ECE" w:rsidRDefault="00CA0289" w:rsidP="00CA0289">
          <w:pPr>
            <w:pStyle w:val="AltBilgi"/>
            <w:jc w:val="center"/>
          </w:pPr>
          <w:r w:rsidRPr="0050320F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315A0931" w:rsidR="00CA0289" w:rsidRPr="00514ECE" w:rsidRDefault="00CA0289" w:rsidP="00CA0289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C079" w14:textId="77777777" w:rsidR="00253756" w:rsidRDefault="00253756" w:rsidP="003A6F6D">
      <w:r>
        <w:separator/>
      </w:r>
    </w:p>
  </w:footnote>
  <w:footnote w:type="continuationSeparator" w:id="0">
    <w:p w14:paraId="2A02A187" w14:textId="77777777" w:rsidR="00253756" w:rsidRDefault="0025375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41133777" w:rsidR="00851CE4" w:rsidRDefault="002F595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YÖNETİM BİLİŞİM SİSTEMLERİ BÖLÜMÜ</w:t>
          </w:r>
        </w:p>
        <w:p w14:paraId="4EB304DA" w14:textId="4B92C6C9" w:rsidR="00851CE4" w:rsidRPr="003A6F6D" w:rsidRDefault="00EB703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POLİTİKASI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812CF8C" w:rsidR="00384F51" w:rsidRPr="00962C72" w:rsidRDefault="002F59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YBS</w:t>
          </w:r>
          <w:r w:rsidR="00851CE4">
            <w:rPr>
              <w:sz w:val="20"/>
              <w:szCs w:val="20"/>
            </w:rPr>
            <w:t>.YÖD.00</w:t>
          </w:r>
          <w:r w:rsidR="00FE66E7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CE1E2A" w:rsidR="00384F51" w:rsidRPr="00962C72" w:rsidRDefault="008F166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FE66E7"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75B37C1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FE66E7">
            <w:rPr>
              <w:sz w:val="20"/>
              <w:szCs w:val="20"/>
            </w:rPr>
            <w:t>5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F71DAD"/>
    <w:multiLevelType w:val="hybridMultilevel"/>
    <w:tmpl w:val="FE2C6704"/>
    <w:lvl w:ilvl="0" w:tplc="9CD29D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DB1598"/>
    <w:multiLevelType w:val="hybridMultilevel"/>
    <w:tmpl w:val="420E921A"/>
    <w:lvl w:ilvl="0" w:tplc="B4E43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1"/>
  </w:num>
  <w:num w:numId="8" w16cid:durableId="1400592500">
    <w:abstractNumId w:val="52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6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4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7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8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3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753017072">
    <w:abstractNumId w:val="55"/>
  </w:num>
  <w:num w:numId="59" w16cid:durableId="267080602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1604"/>
    <w:rsid w:val="00004B2B"/>
    <w:rsid w:val="00031ADB"/>
    <w:rsid w:val="00037FAE"/>
    <w:rsid w:val="0004615F"/>
    <w:rsid w:val="000475CC"/>
    <w:rsid w:val="00054183"/>
    <w:rsid w:val="00060488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66400"/>
    <w:rsid w:val="00180C72"/>
    <w:rsid w:val="00182204"/>
    <w:rsid w:val="001A2010"/>
    <w:rsid w:val="001B7AB7"/>
    <w:rsid w:val="001E3864"/>
    <w:rsid w:val="001F0A65"/>
    <w:rsid w:val="001F2107"/>
    <w:rsid w:val="00203B7C"/>
    <w:rsid w:val="002208F5"/>
    <w:rsid w:val="00235C6E"/>
    <w:rsid w:val="00235F39"/>
    <w:rsid w:val="00253756"/>
    <w:rsid w:val="00267DE1"/>
    <w:rsid w:val="0027275A"/>
    <w:rsid w:val="0028241B"/>
    <w:rsid w:val="00282888"/>
    <w:rsid w:val="00283A3A"/>
    <w:rsid w:val="00286D91"/>
    <w:rsid w:val="002B0FBE"/>
    <w:rsid w:val="002B372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2F5957"/>
    <w:rsid w:val="00304279"/>
    <w:rsid w:val="003157E7"/>
    <w:rsid w:val="00321673"/>
    <w:rsid w:val="0032202E"/>
    <w:rsid w:val="00326596"/>
    <w:rsid w:val="00337313"/>
    <w:rsid w:val="0034727A"/>
    <w:rsid w:val="00367BB7"/>
    <w:rsid w:val="00367CE1"/>
    <w:rsid w:val="0037780E"/>
    <w:rsid w:val="00384F51"/>
    <w:rsid w:val="00385EC5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3F3E5D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55DB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262C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D1377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7F4C7F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B5655"/>
    <w:rsid w:val="008C4719"/>
    <w:rsid w:val="008D733B"/>
    <w:rsid w:val="008F1661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092E"/>
    <w:rsid w:val="00A73CE3"/>
    <w:rsid w:val="00A74BD9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16C7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A0289"/>
    <w:rsid w:val="00CB098F"/>
    <w:rsid w:val="00CB6671"/>
    <w:rsid w:val="00CD112F"/>
    <w:rsid w:val="00CD21A0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0BF7"/>
    <w:rsid w:val="00DC2489"/>
    <w:rsid w:val="00DC4AC8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6C4B"/>
    <w:rsid w:val="00E5068C"/>
    <w:rsid w:val="00E52E86"/>
    <w:rsid w:val="00E644F9"/>
    <w:rsid w:val="00E7328C"/>
    <w:rsid w:val="00E73956"/>
    <w:rsid w:val="00E93D33"/>
    <w:rsid w:val="00EB18A1"/>
    <w:rsid w:val="00EB5DD7"/>
    <w:rsid w:val="00EB703E"/>
    <w:rsid w:val="00EC013C"/>
    <w:rsid w:val="00EE506F"/>
    <w:rsid w:val="00EF1D5C"/>
    <w:rsid w:val="00F177B7"/>
    <w:rsid w:val="00F30556"/>
    <w:rsid w:val="00F4337D"/>
    <w:rsid w:val="00F43EC4"/>
    <w:rsid w:val="00F54792"/>
    <w:rsid w:val="00F65E47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E66E7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15</cp:revision>
  <cp:lastPrinted>2025-04-08T23:39:00Z</cp:lastPrinted>
  <dcterms:created xsi:type="dcterms:W3CDTF">2025-04-30T08:03:00Z</dcterms:created>
  <dcterms:modified xsi:type="dcterms:W3CDTF">2025-07-25T13:41:00Z</dcterms:modified>
</cp:coreProperties>
</file>