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430F" w14:textId="77777777" w:rsidR="00D7020E" w:rsidRPr="00D7020E" w:rsidRDefault="00D7020E" w:rsidP="00D7020E">
      <w:pPr>
        <w:tabs>
          <w:tab w:val="clear" w:pos="4536"/>
        </w:tabs>
        <w:spacing w:before="100" w:beforeAutospacing="1" w:after="100" w:afterAutospacing="1"/>
        <w:jc w:val="center"/>
        <w:rPr>
          <w:rFonts w:eastAsia="Times New Roman"/>
          <w:b/>
          <w:bCs/>
          <w:color w:val="000000"/>
          <w:lang w:eastAsia="tr-TR"/>
        </w:rPr>
      </w:pPr>
      <w:r w:rsidRPr="00D7020E">
        <w:rPr>
          <w:rFonts w:eastAsia="Times New Roman"/>
          <w:b/>
          <w:bCs/>
          <w:color w:val="000000"/>
          <w:lang w:eastAsia="tr-TR"/>
        </w:rPr>
        <w:t>ANTALYA BELEK ÜNİVERSİTESİ SÜREKLİ EĞİTİM UYGULAMA VE ARAŞTIRMA MERKEZİ</w:t>
      </w:r>
    </w:p>
    <w:p w14:paraId="2D645C0B" w14:textId="1105B011" w:rsidR="00D7020E" w:rsidRPr="00D7020E" w:rsidRDefault="00D7020E" w:rsidP="00D7020E">
      <w:pPr>
        <w:tabs>
          <w:tab w:val="clear" w:pos="4536"/>
        </w:tabs>
        <w:spacing w:before="100" w:beforeAutospacing="1" w:after="100" w:afterAutospacing="1"/>
        <w:jc w:val="center"/>
        <w:rPr>
          <w:rFonts w:eastAsia="Times New Roman"/>
          <w:b/>
          <w:bCs/>
          <w:color w:val="000000"/>
          <w:lang w:eastAsia="tr-TR"/>
        </w:rPr>
      </w:pPr>
      <w:r w:rsidRPr="00D7020E">
        <w:rPr>
          <w:rFonts w:eastAsia="Times New Roman"/>
          <w:b/>
          <w:bCs/>
          <w:color w:val="000000"/>
          <w:lang w:eastAsia="tr-TR"/>
        </w:rPr>
        <w:t>KİŞİSEL VERİLERİN KORUNMASI AYDINLATMA METNİ</w:t>
      </w:r>
    </w:p>
    <w:p w14:paraId="56AF6039"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BİRİNCİ BÖLÜM</w:t>
      </w:r>
      <w:r w:rsidRPr="00D7020E">
        <w:rPr>
          <w:rFonts w:eastAsia="Times New Roman"/>
          <w:color w:val="000000"/>
          <w:lang w:eastAsia="tr-TR"/>
        </w:rPr>
        <w:br/>
        <w:t>Amaç, Kapsam, Dayanak ve Tanımlar</w:t>
      </w:r>
    </w:p>
    <w:p w14:paraId="210B51D0"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Amaç</w:t>
      </w:r>
      <w:r w:rsidRPr="00D7020E">
        <w:rPr>
          <w:rFonts w:eastAsia="Times New Roman"/>
          <w:color w:val="000000"/>
          <w:lang w:eastAsia="tr-TR"/>
        </w:rPr>
        <w:br/>
      </w:r>
      <w:r w:rsidRPr="00D7020E">
        <w:rPr>
          <w:rFonts w:eastAsia="Times New Roman"/>
          <w:b/>
          <w:bCs/>
          <w:color w:val="000000"/>
          <w:lang w:eastAsia="tr-TR"/>
        </w:rPr>
        <w:t>MADDE 1 – (1)</w:t>
      </w:r>
      <w:r w:rsidRPr="00D7020E">
        <w:rPr>
          <w:rFonts w:eastAsia="Times New Roman"/>
          <w:color w:val="000000"/>
          <w:lang w:eastAsia="tr-TR"/>
        </w:rPr>
        <w:t xml:space="preserve"> Bu Yönergenin amacı, Antalya Belek Üniversitesi Sürekli Eğitim Uygulama ve Araştırma Merkezi (</w:t>
      </w:r>
      <w:proofErr w:type="spellStart"/>
      <w:r w:rsidRPr="00D7020E">
        <w:rPr>
          <w:rFonts w:eastAsia="Times New Roman"/>
          <w:color w:val="000000"/>
          <w:lang w:eastAsia="tr-TR"/>
        </w:rPr>
        <w:t>BelekSEM</w:t>
      </w:r>
      <w:proofErr w:type="spellEnd"/>
      <w:r w:rsidRPr="00D7020E">
        <w:rPr>
          <w:rFonts w:eastAsia="Times New Roman"/>
          <w:color w:val="000000"/>
          <w:lang w:eastAsia="tr-TR"/>
        </w:rPr>
        <w:t>) tarafından yürütülen eğitim, başvuru ve iletişim süreçlerinde elde edilen kişisel verilerin 6698 sayılı Kişisel Verilerin Korunması Kanunu (KVKK) uyarınca işlenmesine ilişkin usul ve esasları düzenlemektir.</w:t>
      </w:r>
    </w:p>
    <w:p w14:paraId="4A4E49A4"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Kapsam</w:t>
      </w:r>
      <w:r w:rsidRPr="00D7020E">
        <w:rPr>
          <w:rFonts w:eastAsia="Times New Roman"/>
          <w:color w:val="000000"/>
          <w:lang w:eastAsia="tr-TR"/>
        </w:rPr>
        <w:br/>
      </w:r>
      <w:r w:rsidRPr="00D7020E">
        <w:rPr>
          <w:rFonts w:eastAsia="Times New Roman"/>
          <w:b/>
          <w:bCs/>
          <w:color w:val="000000"/>
          <w:lang w:eastAsia="tr-TR"/>
        </w:rPr>
        <w:t>MADDE 2 – (1)</w:t>
      </w:r>
      <w:r w:rsidRPr="00D7020E">
        <w:rPr>
          <w:rFonts w:eastAsia="Times New Roman"/>
          <w:color w:val="000000"/>
          <w:lang w:eastAsia="tr-TR"/>
        </w:rPr>
        <w:t xml:space="preserve"> Bu Yönerge, </w:t>
      </w:r>
      <w:proofErr w:type="spellStart"/>
      <w:r w:rsidRPr="00D7020E">
        <w:rPr>
          <w:rFonts w:eastAsia="Times New Roman"/>
          <w:color w:val="000000"/>
          <w:lang w:eastAsia="tr-TR"/>
        </w:rPr>
        <w:t>BelekSEM</w:t>
      </w:r>
      <w:proofErr w:type="spellEnd"/>
      <w:r w:rsidRPr="00D7020E">
        <w:rPr>
          <w:rFonts w:eastAsia="Times New Roman"/>
          <w:color w:val="000000"/>
          <w:lang w:eastAsia="tr-TR"/>
        </w:rPr>
        <w:t xml:space="preserve"> bünyesinde gerçekleştirilen tüm eğitim, tanıtım, kayıt ve sertifikalandırma faaliyetleri sırasında elde edilen kişisel verilerin toplanması, işlenmesi, saklanması, paylaşılması ve silinmesi süreçlerini kapsar.</w:t>
      </w:r>
    </w:p>
    <w:p w14:paraId="386BF172"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Dayanak</w:t>
      </w:r>
      <w:r w:rsidRPr="00D7020E">
        <w:rPr>
          <w:rFonts w:eastAsia="Times New Roman"/>
          <w:color w:val="000000"/>
          <w:lang w:eastAsia="tr-TR"/>
        </w:rPr>
        <w:br/>
      </w:r>
      <w:r w:rsidRPr="00D7020E">
        <w:rPr>
          <w:rFonts w:eastAsia="Times New Roman"/>
          <w:b/>
          <w:bCs/>
          <w:color w:val="000000"/>
          <w:lang w:eastAsia="tr-TR"/>
        </w:rPr>
        <w:t>MADDE 3 – (1)</w:t>
      </w:r>
      <w:r w:rsidRPr="00D7020E">
        <w:rPr>
          <w:rFonts w:eastAsia="Times New Roman"/>
          <w:color w:val="000000"/>
          <w:lang w:eastAsia="tr-TR"/>
        </w:rPr>
        <w:t xml:space="preserve"> Bu Yönerge, 6698 sayılı Kişisel Verilerin Korunması Kanunu, 2547 sayılı Yükseköğretim Kanunu, Yükseköğretim Kalite Güvencesi Yönetmeliği, ilgili yönetmelikler ve Antalya Belek Üniversitesi Kişisel Verilerin Korunması </w:t>
      </w:r>
      <w:proofErr w:type="spellStart"/>
      <w:r w:rsidRPr="00D7020E">
        <w:rPr>
          <w:rFonts w:eastAsia="Times New Roman"/>
          <w:color w:val="000000"/>
          <w:lang w:eastAsia="tr-TR"/>
        </w:rPr>
        <w:t>Politikası’na</w:t>
      </w:r>
      <w:proofErr w:type="spellEnd"/>
      <w:r w:rsidRPr="00D7020E">
        <w:rPr>
          <w:rFonts w:eastAsia="Times New Roman"/>
          <w:color w:val="000000"/>
          <w:lang w:eastAsia="tr-TR"/>
        </w:rPr>
        <w:t xml:space="preserve"> dayanılarak hazırlanmıştır.</w:t>
      </w:r>
    </w:p>
    <w:p w14:paraId="201A663A"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Tanımlar</w:t>
      </w:r>
      <w:r w:rsidRPr="00D7020E">
        <w:rPr>
          <w:rFonts w:eastAsia="Times New Roman"/>
          <w:color w:val="000000"/>
          <w:lang w:eastAsia="tr-TR"/>
        </w:rPr>
        <w:br/>
      </w:r>
      <w:r w:rsidRPr="00D7020E">
        <w:rPr>
          <w:rFonts w:eastAsia="Times New Roman"/>
          <w:b/>
          <w:bCs/>
          <w:color w:val="000000"/>
          <w:lang w:eastAsia="tr-TR"/>
        </w:rPr>
        <w:t>MADDE 4 – (1)</w:t>
      </w:r>
      <w:r w:rsidRPr="00D7020E">
        <w:rPr>
          <w:rFonts w:eastAsia="Times New Roman"/>
          <w:color w:val="000000"/>
          <w:lang w:eastAsia="tr-TR"/>
        </w:rPr>
        <w:t xml:space="preserve"> Bu Yönergede geçen; a) Üniversite: Antalya Belek Üniversitesi’ni, b) Merkez: Antalya Belek Üniversitesi Sürekli Eğitim Uygulama ve Araştırma Merkezi’ni, c) Kişisel Veri: Kimliği belirli veya belirlenebilir gerçek kişiye ilişkin her türlü bilgiyi, d) Özel Nitelikli Kişisel Veri: Irk, etnik köken, siyasi düşünce, sağlık bilgisi gibi hassas nitelikteki verileri, e) Veri Sahibi (İlgili Kişi): Kişisel verisi işlenen gerçek kişiyi, f) Veri Sorumlusu: Kişisel verilerin işleme amaçlarını ve vasıtalarını belirleyen, veri kayıt sisteminin kurulmasından ve yönetilmesinden sorumlu olan gerçek veya tüzel kişiyi, g) Aydınlatma Yükümlülüğü: Veri sorumlusunun, veri sahibini bilgilendirme yükümlülüğünü, h) Açık Rıza: Belirli bir konuya ilişkin, bilgilendirmeye dayanan ve özgür iradeyle açıklanan onayı, ifade eder.</w:t>
      </w:r>
    </w:p>
    <w:p w14:paraId="2FD0814F"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İKİNCİ BÖLÜM</w:t>
      </w:r>
      <w:r w:rsidRPr="00D7020E">
        <w:rPr>
          <w:rFonts w:eastAsia="Times New Roman"/>
          <w:color w:val="000000"/>
          <w:lang w:eastAsia="tr-TR"/>
        </w:rPr>
        <w:br/>
        <w:t>Verilerin Toplanması, İşlenmesi ve Saklanması</w:t>
      </w:r>
    </w:p>
    <w:p w14:paraId="6CFD7D0D"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Verilerin Toplanma Yöntemi</w:t>
      </w:r>
      <w:r w:rsidRPr="00D7020E">
        <w:rPr>
          <w:rFonts w:eastAsia="Times New Roman"/>
          <w:color w:val="000000"/>
          <w:lang w:eastAsia="tr-TR"/>
        </w:rPr>
        <w:br/>
      </w:r>
      <w:r w:rsidRPr="00D7020E">
        <w:rPr>
          <w:rFonts w:eastAsia="Times New Roman"/>
          <w:b/>
          <w:bCs/>
          <w:color w:val="000000"/>
          <w:lang w:eastAsia="tr-TR"/>
        </w:rPr>
        <w:t>MADDE 5 – (1)</w:t>
      </w:r>
      <w:r w:rsidRPr="00D7020E">
        <w:rPr>
          <w:rFonts w:eastAsia="Times New Roman"/>
          <w:color w:val="000000"/>
          <w:lang w:eastAsia="tr-TR"/>
        </w:rPr>
        <w:t xml:space="preserve"> Kişisel veriler, elektronik ortamda (çevrimiçi başvuru formları, e-posta, dijital kayıt sistemleri) veya fiziksel ortamda (matbu formlar, sözleşmeler, sertifika listeleri) elde edilebilir.</w:t>
      </w:r>
    </w:p>
    <w:p w14:paraId="53B35541"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lastRenderedPageBreak/>
        <w:t>Verilerin İşlenme Amaçları</w:t>
      </w:r>
      <w:r w:rsidRPr="00D7020E">
        <w:rPr>
          <w:rFonts w:eastAsia="Times New Roman"/>
          <w:color w:val="000000"/>
          <w:lang w:eastAsia="tr-TR"/>
        </w:rPr>
        <w:br/>
      </w:r>
      <w:r w:rsidRPr="00D7020E">
        <w:rPr>
          <w:rFonts w:eastAsia="Times New Roman"/>
          <w:b/>
          <w:bCs/>
          <w:color w:val="000000"/>
          <w:lang w:eastAsia="tr-TR"/>
        </w:rPr>
        <w:t>MADDE 6 – (1)</w:t>
      </w:r>
      <w:r w:rsidRPr="00D7020E">
        <w:rPr>
          <w:rFonts w:eastAsia="Times New Roman"/>
          <w:color w:val="000000"/>
          <w:lang w:eastAsia="tr-TR"/>
        </w:rPr>
        <w:t xml:space="preserve"> </w:t>
      </w:r>
      <w:proofErr w:type="spellStart"/>
      <w:r w:rsidRPr="00D7020E">
        <w:rPr>
          <w:rFonts w:eastAsia="Times New Roman"/>
          <w:color w:val="000000"/>
          <w:lang w:eastAsia="tr-TR"/>
        </w:rPr>
        <w:t>BelekSEM</w:t>
      </w:r>
      <w:proofErr w:type="spellEnd"/>
      <w:r w:rsidRPr="00D7020E">
        <w:rPr>
          <w:rFonts w:eastAsia="Times New Roman"/>
          <w:color w:val="000000"/>
          <w:lang w:eastAsia="tr-TR"/>
        </w:rPr>
        <w:t xml:space="preserve"> tarafından toplanan kişisel veriler aşağıdaki amaçlarla işlenebilir: a) Eğitim başvurusu, kayıt ve katılım süreçlerinin yürütülmesi, b) Katılımcılarla iletişimin sağlanması, c) Sertifika ve katılım belgesi düzenlenmesi, d) Faturalandırma ve ödeme süreçlerinin yürütülmesi, e) Eğitim içeriği geliştirme, kalite süreçleri ve raporlama, f) Yasal yükümlülüklerin yerine getirilmesi.</w:t>
      </w:r>
    </w:p>
    <w:p w14:paraId="21DA9048"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Verilerin Saklanma Süresi</w:t>
      </w:r>
      <w:r w:rsidRPr="00D7020E">
        <w:rPr>
          <w:rFonts w:eastAsia="Times New Roman"/>
          <w:color w:val="000000"/>
          <w:lang w:eastAsia="tr-TR"/>
        </w:rPr>
        <w:br/>
      </w:r>
      <w:r w:rsidRPr="00D7020E">
        <w:rPr>
          <w:rFonts w:eastAsia="Times New Roman"/>
          <w:b/>
          <w:bCs/>
          <w:color w:val="000000"/>
          <w:lang w:eastAsia="tr-TR"/>
        </w:rPr>
        <w:t>MADDE 7 – (1)</w:t>
      </w:r>
      <w:r w:rsidRPr="00D7020E">
        <w:rPr>
          <w:rFonts w:eastAsia="Times New Roman"/>
          <w:color w:val="000000"/>
          <w:lang w:eastAsia="tr-TR"/>
        </w:rPr>
        <w:t xml:space="preserve"> Kişisel veriler, işlendikleri amaç doğrultusunda ve ilgili mevzuat süresince saklanır. Süre bitiminde veriler </w:t>
      </w:r>
      <w:proofErr w:type="spellStart"/>
      <w:r w:rsidRPr="00D7020E">
        <w:rPr>
          <w:rFonts w:eastAsia="Times New Roman"/>
          <w:color w:val="000000"/>
          <w:lang w:eastAsia="tr-TR"/>
        </w:rPr>
        <w:t>re’sen</w:t>
      </w:r>
      <w:proofErr w:type="spellEnd"/>
      <w:r w:rsidRPr="00D7020E">
        <w:rPr>
          <w:rFonts w:eastAsia="Times New Roman"/>
          <w:color w:val="000000"/>
          <w:lang w:eastAsia="tr-TR"/>
        </w:rPr>
        <w:t xml:space="preserve"> veya ilgili kişinin talebiyle silinir, yok edilir veya anonimleştirilir.</w:t>
      </w:r>
    </w:p>
    <w:p w14:paraId="58DDE2B0"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ÜÇÜNCÜ BÖLÜM</w:t>
      </w:r>
      <w:r w:rsidRPr="00D7020E">
        <w:rPr>
          <w:rFonts w:eastAsia="Times New Roman"/>
          <w:color w:val="000000"/>
          <w:lang w:eastAsia="tr-TR"/>
        </w:rPr>
        <w:br/>
        <w:t>Verilerin Aktarılması, Güvenliği ve İlgili Kişinin Hakları</w:t>
      </w:r>
    </w:p>
    <w:p w14:paraId="534E4D2F"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Verilerin Aktarılması</w:t>
      </w:r>
      <w:r w:rsidRPr="00D7020E">
        <w:rPr>
          <w:rFonts w:eastAsia="Times New Roman"/>
          <w:color w:val="000000"/>
          <w:lang w:eastAsia="tr-TR"/>
        </w:rPr>
        <w:br/>
      </w:r>
      <w:r w:rsidRPr="00D7020E">
        <w:rPr>
          <w:rFonts w:eastAsia="Times New Roman"/>
          <w:b/>
          <w:bCs/>
          <w:color w:val="000000"/>
          <w:lang w:eastAsia="tr-TR"/>
        </w:rPr>
        <w:t>MADDE 8 – (1)</w:t>
      </w:r>
      <w:r w:rsidRPr="00D7020E">
        <w:rPr>
          <w:rFonts w:eastAsia="Times New Roman"/>
          <w:color w:val="000000"/>
          <w:lang w:eastAsia="tr-TR"/>
        </w:rPr>
        <w:t xml:space="preserve"> Kişisel veriler, aşağıdaki durumlarda üçüncü taraflara aktarılabilir: a) Yasal zorunluluk hallerinde kamu kurum ve kuruluşlarına, b) Üniversitenin ilgili akademik/idari birimlerine, c) Hizmet alınan yazılım ve teknoloji tedarikçilerine, d) </w:t>
      </w:r>
      <w:proofErr w:type="gramStart"/>
      <w:r w:rsidRPr="00D7020E">
        <w:rPr>
          <w:rFonts w:eastAsia="Times New Roman"/>
          <w:color w:val="000000"/>
          <w:lang w:eastAsia="tr-TR"/>
        </w:rPr>
        <w:t>İşbirliği</w:t>
      </w:r>
      <w:proofErr w:type="gramEnd"/>
      <w:r w:rsidRPr="00D7020E">
        <w:rPr>
          <w:rFonts w:eastAsia="Times New Roman"/>
          <w:color w:val="000000"/>
          <w:lang w:eastAsia="tr-TR"/>
        </w:rPr>
        <w:t xml:space="preserve"> protokolleri kapsamında yetkili eğitim ortaklarına.</w:t>
      </w:r>
    </w:p>
    <w:p w14:paraId="7DF3D658"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Veri Güvenliğine İlişkin Önlemler</w:t>
      </w:r>
      <w:r w:rsidRPr="00D7020E">
        <w:rPr>
          <w:rFonts w:eastAsia="Times New Roman"/>
          <w:color w:val="000000"/>
          <w:lang w:eastAsia="tr-TR"/>
        </w:rPr>
        <w:br/>
      </w:r>
      <w:r w:rsidRPr="00D7020E">
        <w:rPr>
          <w:rFonts w:eastAsia="Times New Roman"/>
          <w:b/>
          <w:bCs/>
          <w:color w:val="000000"/>
          <w:lang w:eastAsia="tr-TR"/>
        </w:rPr>
        <w:t>MADDE 9 – (1)</w:t>
      </w:r>
      <w:r w:rsidRPr="00D7020E">
        <w:rPr>
          <w:rFonts w:eastAsia="Times New Roman"/>
          <w:color w:val="000000"/>
          <w:lang w:eastAsia="tr-TR"/>
        </w:rPr>
        <w:t xml:space="preserve"> </w:t>
      </w:r>
      <w:proofErr w:type="spellStart"/>
      <w:r w:rsidRPr="00D7020E">
        <w:rPr>
          <w:rFonts w:eastAsia="Times New Roman"/>
          <w:color w:val="000000"/>
          <w:lang w:eastAsia="tr-TR"/>
        </w:rPr>
        <w:t>BelekSEM</w:t>
      </w:r>
      <w:proofErr w:type="spellEnd"/>
      <w:r w:rsidRPr="00D7020E">
        <w:rPr>
          <w:rFonts w:eastAsia="Times New Roman"/>
          <w:color w:val="000000"/>
          <w:lang w:eastAsia="tr-TR"/>
        </w:rPr>
        <w:t>, kişisel verilerin gizliliğini, bütünlüğünü ve erişilebilirliğini sağlamak amacıyla teknik ve idari tedbirleri alır. Bu kapsamda erişim kontrolleri, veri maskeleme, şifreleme ve düzenli denetim uygulamaları yürütülür.</w:t>
      </w:r>
    </w:p>
    <w:p w14:paraId="0E72D8BF" w14:textId="68BA513A"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İlgili Kişinin Hakları</w:t>
      </w:r>
      <w:r w:rsidRPr="00D7020E">
        <w:rPr>
          <w:rFonts w:eastAsia="Times New Roman"/>
          <w:color w:val="000000"/>
          <w:lang w:eastAsia="tr-TR"/>
        </w:rPr>
        <w:br/>
      </w:r>
      <w:r w:rsidRPr="00D7020E">
        <w:rPr>
          <w:rFonts w:eastAsia="Times New Roman"/>
          <w:b/>
          <w:bCs/>
          <w:color w:val="000000"/>
          <w:lang w:eastAsia="tr-TR"/>
        </w:rPr>
        <w:t>MADDE 10 – (1)</w:t>
      </w:r>
      <w:r w:rsidRPr="00D7020E">
        <w:rPr>
          <w:rFonts w:eastAsia="Times New Roman"/>
          <w:color w:val="000000"/>
          <w:lang w:eastAsia="tr-TR"/>
        </w:rPr>
        <w:t xml:space="preserve"> Veri sahibi, </w:t>
      </w:r>
      <w:proofErr w:type="spellStart"/>
      <w:r w:rsidRPr="00D7020E">
        <w:rPr>
          <w:rFonts w:eastAsia="Times New Roman"/>
          <w:color w:val="000000"/>
          <w:lang w:eastAsia="tr-TR"/>
        </w:rPr>
        <w:t>KVKK’nın</w:t>
      </w:r>
      <w:proofErr w:type="spellEnd"/>
      <w:r w:rsidRPr="00D7020E">
        <w:rPr>
          <w:rFonts w:eastAsia="Times New Roman"/>
          <w:color w:val="000000"/>
          <w:lang w:eastAsia="tr-TR"/>
        </w:rPr>
        <w:t xml:space="preserve"> 11. maddesi kapsamında aşağıdaki haklara sahiptir: a) Kişisel verisinin işlenip işlenmediğini öğrenme, b) İşlenmişse buna ilişkin bilgi talep etme, c) İşlenme amacını ve bunların amacına uygun kullanılıp kullanılmadığını öğrenme, d) Yurt içinde veya yurt dışında aktarıldığı üçüncü kişileri bilme, e) Eksik veya yanlış işlenmişse düzeltilmesini isteme, f) Mevzuata uygun şekilde silinmesini veya yok edilmesini isteme, g) Bu işlemlerin aktarıldığı üçüncü kişilere bildirilmesini isteme, h) İşlenen verilerin münhasıran otomatik sistemlerle analiz edilmesi sonucu aleyhine çıkan sonuca itiraz etme, ı) Kanuna aykırı olarak işlenmesi sebebiyle zarar görmesi hâlinde tazminat talep etme.</w:t>
      </w:r>
    </w:p>
    <w:p w14:paraId="66F1C4B7"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Başvuru Yolu</w:t>
      </w:r>
      <w:r w:rsidRPr="00D7020E">
        <w:rPr>
          <w:rFonts w:eastAsia="Times New Roman"/>
          <w:color w:val="000000"/>
          <w:lang w:eastAsia="tr-TR"/>
        </w:rPr>
        <w:br/>
        <w:t xml:space="preserve">MADDE 11 – (1) İlgili kişi, bu haklara ilişkin taleplerini yazılı olarak veya Kişisel Verileri Koruma Kurulu’nun belirlediği yöntemlerle </w:t>
      </w:r>
      <w:proofErr w:type="spellStart"/>
      <w:r w:rsidRPr="00D7020E">
        <w:rPr>
          <w:rFonts w:eastAsia="Times New Roman"/>
          <w:color w:val="000000"/>
          <w:lang w:eastAsia="tr-TR"/>
        </w:rPr>
        <w:t>BelekSEM’e</w:t>
      </w:r>
      <w:proofErr w:type="spellEnd"/>
      <w:r w:rsidRPr="00D7020E">
        <w:rPr>
          <w:rFonts w:eastAsia="Times New Roman"/>
          <w:color w:val="000000"/>
          <w:lang w:eastAsia="tr-TR"/>
        </w:rPr>
        <w:t xml:space="preserve"> iletebilir.</w:t>
      </w:r>
    </w:p>
    <w:p w14:paraId="64149C8F"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DÖRDÜNCÜ BÖLÜM</w:t>
      </w:r>
      <w:r w:rsidRPr="00D7020E">
        <w:rPr>
          <w:rFonts w:eastAsia="Times New Roman"/>
          <w:color w:val="000000"/>
          <w:lang w:eastAsia="tr-TR"/>
        </w:rPr>
        <w:br/>
      </w:r>
      <w:r w:rsidRPr="00D7020E">
        <w:rPr>
          <w:rFonts w:eastAsia="Times New Roman"/>
          <w:b/>
          <w:bCs/>
          <w:color w:val="000000"/>
          <w:lang w:eastAsia="tr-TR"/>
        </w:rPr>
        <w:t>Yürürlük ve Yürütme</w:t>
      </w:r>
    </w:p>
    <w:p w14:paraId="05C7125D"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t>Yürürlük</w:t>
      </w:r>
      <w:r w:rsidRPr="00D7020E">
        <w:rPr>
          <w:rFonts w:eastAsia="Times New Roman"/>
          <w:color w:val="000000"/>
          <w:lang w:eastAsia="tr-TR"/>
        </w:rPr>
        <w:br/>
      </w:r>
      <w:r w:rsidRPr="00D7020E">
        <w:rPr>
          <w:rFonts w:eastAsia="Times New Roman"/>
          <w:b/>
          <w:bCs/>
          <w:color w:val="000000"/>
          <w:lang w:eastAsia="tr-TR"/>
        </w:rPr>
        <w:t>MADDE 12 – (1)</w:t>
      </w:r>
      <w:r w:rsidRPr="00D7020E">
        <w:rPr>
          <w:rFonts w:eastAsia="Times New Roman"/>
          <w:color w:val="000000"/>
          <w:lang w:eastAsia="tr-TR"/>
        </w:rPr>
        <w:t xml:space="preserve"> Bu Yönerge, Antalya Belek Üniversitesi Senatosu tarafından onaylandığı tarihte yürürlüğe girer.</w:t>
      </w:r>
    </w:p>
    <w:p w14:paraId="4118294A" w14:textId="77777777" w:rsidR="00D7020E" w:rsidRPr="00D7020E" w:rsidRDefault="00D7020E" w:rsidP="00D7020E">
      <w:pPr>
        <w:tabs>
          <w:tab w:val="clear" w:pos="4536"/>
        </w:tabs>
        <w:spacing w:before="100" w:beforeAutospacing="1" w:after="100" w:afterAutospacing="1"/>
        <w:jc w:val="left"/>
        <w:rPr>
          <w:rFonts w:eastAsia="Times New Roman"/>
          <w:color w:val="000000"/>
          <w:lang w:eastAsia="tr-TR"/>
        </w:rPr>
      </w:pPr>
      <w:r w:rsidRPr="00D7020E">
        <w:rPr>
          <w:rFonts w:eastAsia="Times New Roman"/>
          <w:b/>
          <w:bCs/>
          <w:color w:val="000000"/>
          <w:lang w:eastAsia="tr-TR"/>
        </w:rPr>
        <w:lastRenderedPageBreak/>
        <w:t>Yürütme</w:t>
      </w:r>
      <w:r w:rsidRPr="00D7020E">
        <w:rPr>
          <w:rFonts w:eastAsia="Times New Roman"/>
          <w:color w:val="000000"/>
          <w:lang w:eastAsia="tr-TR"/>
        </w:rPr>
        <w:br/>
      </w:r>
      <w:r w:rsidRPr="00D7020E">
        <w:rPr>
          <w:rFonts w:eastAsia="Times New Roman"/>
          <w:b/>
          <w:bCs/>
          <w:color w:val="000000"/>
          <w:lang w:eastAsia="tr-TR"/>
        </w:rPr>
        <w:t>MADDE 13 – (1)</w:t>
      </w:r>
      <w:r w:rsidRPr="00D7020E">
        <w:rPr>
          <w:rFonts w:eastAsia="Times New Roman"/>
          <w:color w:val="000000"/>
          <w:lang w:eastAsia="tr-TR"/>
        </w:rPr>
        <w:t xml:space="preserve"> Bu Yönerge hükümlerini Antalya Belek Üniversitesi Sürekli Eğitim Uygulama ve Araştırma Merkezi Müdürü yürütür.</w:t>
      </w:r>
    </w:p>
    <w:p w14:paraId="0743FEB3" w14:textId="77777777" w:rsidR="00D7020E" w:rsidRDefault="00D7020E" w:rsidP="003B3524">
      <w:pPr>
        <w:pStyle w:val="Saptanm"/>
        <w:suppressAutoHyphens/>
        <w:spacing w:before="0" w:after="240" w:line="240" w:lineRule="auto"/>
        <w:rPr>
          <w:rFonts w:ascii="Times Roman" w:eastAsia="Times Roman" w:hAnsi="Times Roman" w:cs="Times Roman"/>
          <w:b/>
          <w:bCs/>
        </w:rPr>
      </w:pPr>
    </w:p>
    <w:p w14:paraId="235D5255" w14:textId="77777777" w:rsidR="00A41EC4" w:rsidRPr="00A41EC4" w:rsidRDefault="00A41EC4" w:rsidP="00FC25B7">
      <w:pPr>
        <w:ind w:right="-142"/>
      </w:pPr>
    </w:p>
    <w:sectPr w:rsidR="00A41EC4" w:rsidRPr="00A41EC4" w:rsidSect="00A94569">
      <w:headerReference w:type="default" r:id="rId8"/>
      <w:footerReference w:type="default" r:id="rId9"/>
      <w:pgSz w:w="11906" w:h="16838"/>
      <w:pgMar w:top="1417" w:right="1417" w:bottom="1417" w:left="1417" w:header="567" w:footer="283" w:gutter="0"/>
      <w:pgBorders w:offsetFrom="page">
        <w:top w:val="single" w:sz="18" w:space="20" w:color="C0504D" w:themeColor="accent2"/>
        <w:left w:val="single" w:sz="18" w:space="20" w:color="C0504D" w:themeColor="accent2"/>
        <w:bottom w:val="single" w:sz="18" w:space="20" w:color="C0504D" w:themeColor="accent2"/>
        <w:right w:val="single" w:sz="18" w:space="20"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D264" w14:textId="77777777" w:rsidR="00D55348" w:rsidRDefault="00D55348" w:rsidP="003A6F6D">
      <w:r>
        <w:separator/>
      </w:r>
    </w:p>
  </w:endnote>
  <w:endnote w:type="continuationSeparator" w:id="0">
    <w:p w14:paraId="68E37786" w14:textId="77777777" w:rsidR="00D55348" w:rsidRDefault="00D55348"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16105CE1" w:rsidR="00FA108B" w:rsidRPr="00FA108B" w:rsidRDefault="00F14CC4" w:rsidP="003A6F6D">
          <w:pPr>
            <w:pStyle w:val="AltBilgi"/>
            <w:jc w:val="center"/>
          </w:pPr>
          <w:r>
            <w:t xml:space="preserve">Sürekli Eğitim </w:t>
          </w:r>
          <w:r w:rsidR="00716B40">
            <w:t xml:space="preserve">Uygulama ve Araştırma </w:t>
          </w:r>
          <w:r>
            <w:t>Merkezi Müdür</w:t>
          </w:r>
          <w:r w:rsidR="00716B40">
            <w:t>lüğü</w:t>
          </w:r>
        </w:p>
      </w:tc>
      <w:tc>
        <w:tcPr>
          <w:tcW w:w="3717" w:type="dxa"/>
          <w:vAlign w:val="center"/>
        </w:tcPr>
        <w:p w14:paraId="1146F847" w14:textId="6025AFAB" w:rsidR="00FA108B" w:rsidRPr="00514ECE" w:rsidRDefault="00A94569" w:rsidP="003A6F6D">
          <w:pPr>
            <w:pStyle w:val="AltBilgi"/>
            <w:jc w:val="center"/>
          </w:pPr>
          <w:r>
            <w:t>Kalite Koordinatörlüğü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DEC3" w14:textId="77777777" w:rsidR="00D55348" w:rsidRDefault="00D55348" w:rsidP="003A6F6D">
      <w:r>
        <w:separator/>
      </w:r>
    </w:p>
  </w:footnote>
  <w:footnote w:type="continuationSeparator" w:id="0">
    <w:p w14:paraId="75358A12" w14:textId="77777777" w:rsidR="00D55348" w:rsidRDefault="00D55348"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0"/>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3FC2162" w14:textId="77777777" w:rsidR="00384F51" w:rsidRDefault="0050672E" w:rsidP="003A6F6D">
          <w:pPr>
            <w:pStyle w:val="stBilgi"/>
            <w:jc w:val="center"/>
            <w:rPr>
              <w:b/>
              <w:bCs/>
            </w:rPr>
          </w:pPr>
          <w:r w:rsidRPr="00485BF0">
            <w:rPr>
              <w:b/>
              <w:bCs/>
            </w:rPr>
            <w:t>ANTALYA BELEK ÜNİVERSİTESİ</w:t>
          </w:r>
        </w:p>
        <w:p w14:paraId="2197D95F" w14:textId="7FC66003" w:rsidR="00FC25B7" w:rsidRDefault="00362EA5" w:rsidP="003A6F6D">
          <w:pPr>
            <w:pStyle w:val="stBilgi"/>
            <w:jc w:val="center"/>
            <w:rPr>
              <w:b/>
              <w:bCs/>
            </w:rPr>
          </w:pPr>
          <w:r>
            <w:rPr>
              <w:b/>
              <w:bCs/>
            </w:rPr>
            <w:t>SÜREKLİ EĞİTİM UYGULAMA VE ARAŞTIRMA MERKEZİ</w:t>
          </w:r>
        </w:p>
        <w:p w14:paraId="4EB304DA" w14:textId="37A7196E" w:rsidR="00FC25B7" w:rsidRPr="003A6F6D" w:rsidRDefault="00D7020E" w:rsidP="003A6F6D">
          <w:pPr>
            <w:pStyle w:val="stBilgi"/>
            <w:jc w:val="center"/>
            <w:rPr>
              <w:b/>
              <w:bCs/>
            </w:rPr>
          </w:pPr>
          <w:r>
            <w:rPr>
              <w:b/>
              <w:bCs/>
            </w:rPr>
            <w:t>KİŞİSEL VERİLERİN KORUNMASI AYDINLATMA METNİ</w:t>
          </w:r>
        </w:p>
      </w:tc>
      <w:tc>
        <w:tcPr>
          <w:tcW w:w="1843" w:type="dxa"/>
        </w:tcPr>
        <w:p w14:paraId="2C64F359" w14:textId="546553CC" w:rsidR="00384F51" w:rsidRPr="00FC25B7" w:rsidRDefault="00384F51" w:rsidP="003A6F6D">
          <w:pPr>
            <w:pStyle w:val="stBilgi"/>
            <w:rPr>
              <w:sz w:val="20"/>
              <w:szCs w:val="20"/>
            </w:rPr>
          </w:pPr>
          <w:r w:rsidRPr="00FC25B7">
            <w:rPr>
              <w:sz w:val="20"/>
              <w:szCs w:val="20"/>
            </w:rPr>
            <w:t>Doküman No:</w:t>
          </w:r>
        </w:p>
      </w:tc>
      <w:tc>
        <w:tcPr>
          <w:tcW w:w="1559" w:type="dxa"/>
        </w:tcPr>
        <w:p w14:paraId="454C790D" w14:textId="133CBBD2" w:rsidR="00F7784B" w:rsidRPr="00FC25B7" w:rsidRDefault="00F14CC4" w:rsidP="003A6F6D">
          <w:pPr>
            <w:pStyle w:val="stBilgi"/>
            <w:rPr>
              <w:sz w:val="20"/>
              <w:szCs w:val="20"/>
            </w:rPr>
          </w:pPr>
          <w:r>
            <w:rPr>
              <w:sz w:val="20"/>
              <w:szCs w:val="20"/>
            </w:rPr>
            <w:t>SEM</w:t>
          </w:r>
          <w:r w:rsidR="00FC25B7" w:rsidRPr="00FC25B7">
            <w:rPr>
              <w:sz w:val="20"/>
              <w:szCs w:val="20"/>
            </w:rPr>
            <w:t>.</w:t>
          </w:r>
          <w:r w:rsidR="00DD5ECF">
            <w:rPr>
              <w:sz w:val="20"/>
              <w:szCs w:val="20"/>
            </w:rPr>
            <w:t>SVP</w:t>
          </w:r>
          <w:r w:rsidR="00FC25B7" w:rsidRPr="00FC25B7">
            <w:rPr>
              <w:sz w:val="20"/>
              <w:szCs w:val="20"/>
            </w:rPr>
            <w:t>.0</w:t>
          </w:r>
          <w:r w:rsidR="003B3524">
            <w:rPr>
              <w:sz w:val="20"/>
              <w:szCs w:val="20"/>
            </w:rPr>
            <w:t>1</w:t>
          </w:r>
          <w:r w:rsidR="00D7020E">
            <w:rPr>
              <w:sz w:val="20"/>
              <w:szCs w:val="20"/>
            </w:rPr>
            <w:t>4</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FC25B7" w:rsidRDefault="00384F51" w:rsidP="003A6F6D">
          <w:pPr>
            <w:pStyle w:val="stBilgi"/>
            <w:rPr>
              <w:sz w:val="20"/>
              <w:szCs w:val="20"/>
            </w:rPr>
          </w:pPr>
          <w:r w:rsidRPr="00FC25B7">
            <w:rPr>
              <w:sz w:val="20"/>
              <w:szCs w:val="20"/>
            </w:rPr>
            <w:t>İlk Yayın Tarihi:</w:t>
          </w:r>
        </w:p>
      </w:tc>
      <w:tc>
        <w:tcPr>
          <w:tcW w:w="1559" w:type="dxa"/>
        </w:tcPr>
        <w:p w14:paraId="6B55DD70" w14:textId="232C5DA6" w:rsidR="00384F51" w:rsidRPr="00FC25B7" w:rsidRDefault="00A94569" w:rsidP="00FC25B7">
          <w:pPr>
            <w:pStyle w:val="stBilgi"/>
            <w:rPr>
              <w:sz w:val="20"/>
              <w:szCs w:val="20"/>
            </w:rPr>
          </w:pPr>
          <w:r>
            <w:rPr>
              <w:sz w:val="20"/>
              <w:szCs w:val="20"/>
            </w:rPr>
            <w:t>20.06.2025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FC25B7" w:rsidRDefault="00384F51" w:rsidP="003A6F6D">
          <w:pPr>
            <w:pStyle w:val="stBilgi"/>
            <w:rPr>
              <w:sz w:val="20"/>
              <w:szCs w:val="20"/>
            </w:rPr>
          </w:pPr>
          <w:r w:rsidRPr="00FC25B7">
            <w:rPr>
              <w:sz w:val="20"/>
              <w:szCs w:val="20"/>
            </w:rPr>
            <w:t>Revizyon Tarihi:</w:t>
          </w:r>
        </w:p>
      </w:tc>
      <w:tc>
        <w:tcPr>
          <w:tcW w:w="1559" w:type="dxa"/>
        </w:tcPr>
        <w:p w14:paraId="3B33FEB2" w14:textId="00E90C2E" w:rsidR="00384F51" w:rsidRPr="00FC25B7" w:rsidRDefault="00FA108B" w:rsidP="003A6F6D">
          <w:pPr>
            <w:pStyle w:val="stBilgi"/>
            <w:rPr>
              <w:sz w:val="20"/>
              <w:szCs w:val="20"/>
            </w:rPr>
          </w:pPr>
          <w:r w:rsidRPr="00FC25B7">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FC25B7" w:rsidRDefault="00384F51" w:rsidP="003A6F6D">
          <w:pPr>
            <w:pStyle w:val="stBilgi"/>
            <w:rPr>
              <w:sz w:val="20"/>
              <w:szCs w:val="20"/>
            </w:rPr>
          </w:pPr>
          <w:r w:rsidRPr="00FC25B7">
            <w:rPr>
              <w:sz w:val="20"/>
              <w:szCs w:val="20"/>
            </w:rPr>
            <w:t>Revizyon No:</w:t>
          </w:r>
        </w:p>
      </w:tc>
      <w:tc>
        <w:tcPr>
          <w:tcW w:w="1559" w:type="dxa"/>
        </w:tcPr>
        <w:p w14:paraId="44989CCB" w14:textId="1DB697C4" w:rsidR="00384F51" w:rsidRPr="00FC25B7" w:rsidRDefault="00FA108B" w:rsidP="003A6F6D">
          <w:pPr>
            <w:pStyle w:val="stBilgi"/>
            <w:rPr>
              <w:sz w:val="20"/>
              <w:szCs w:val="20"/>
            </w:rPr>
          </w:pPr>
          <w:r w:rsidRPr="00FC25B7">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FC25B7" w:rsidRDefault="00384F51" w:rsidP="003A6F6D">
          <w:pPr>
            <w:pStyle w:val="stBilgi"/>
            <w:rPr>
              <w:sz w:val="20"/>
              <w:szCs w:val="20"/>
            </w:rPr>
          </w:pPr>
          <w:r w:rsidRPr="00FC25B7">
            <w:rPr>
              <w:sz w:val="20"/>
              <w:szCs w:val="20"/>
            </w:rPr>
            <w:t>Sayfa No:</w:t>
          </w:r>
        </w:p>
      </w:tc>
      <w:tc>
        <w:tcPr>
          <w:tcW w:w="1559" w:type="dxa"/>
        </w:tcPr>
        <w:p w14:paraId="7B181C35" w14:textId="097D80D7" w:rsidR="00384F51" w:rsidRPr="00FC25B7" w:rsidRDefault="003F241E" w:rsidP="003A6F6D">
          <w:pPr>
            <w:pStyle w:val="stBilgi"/>
            <w:rPr>
              <w:sz w:val="20"/>
              <w:szCs w:val="20"/>
            </w:rPr>
          </w:pPr>
          <w:r w:rsidRPr="00FC25B7">
            <w:rPr>
              <w:sz w:val="20"/>
              <w:szCs w:val="20"/>
            </w:rPr>
            <w:fldChar w:fldCharType="begin"/>
          </w:r>
          <w:r w:rsidRPr="00FC25B7">
            <w:rPr>
              <w:sz w:val="20"/>
              <w:szCs w:val="20"/>
            </w:rPr>
            <w:instrText>PAGE   \* MERGEFORMAT</w:instrText>
          </w:r>
          <w:r w:rsidRPr="00FC25B7">
            <w:rPr>
              <w:sz w:val="20"/>
              <w:szCs w:val="20"/>
            </w:rPr>
            <w:fldChar w:fldCharType="separate"/>
          </w:r>
          <w:r w:rsidRPr="00FC25B7">
            <w:rPr>
              <w:sz w:val="20"/>
              <w:szCs w:val="20"/>
            </w:rPr>
            <w:t>1</w:t>
          </w:r>
          <w:r w:rsidRPr="00FC25B7">
            <w:rPr>
              <w:sz w:val="20"/>
              <w:szCs w:val="20"/>
            </w:rPr>
            <w:fldChar w:fldCharType="end"/>
          </w:r>
          <w:r w:rsidRPr="00FC25B7">
            <w:rPr>
              <w:sz w:val="20"/>
              <w:szCs w:val="20"/>
            </w:rPr>
            <w:t>/</w:t>
          </w:r>
          <w:r w:rsidR="007A6A76">
            <w:rPr>
              <w:sz w:val="20"/>
              <w:szCs w:val="20"/>
            </w:rPr>
            <w:t>3</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7B8"/>
    <w:multiLevelType w:val="hybridMultilevel"/>
    <w:tmpl w:val="994C793C"/>
    <w:styleLink w:val="Numaral"/>
    <w:lvl w:ilvl="0" w:tplc="50BA818A">
      <w:start w:val="1"/>
      <w:numFmt w:val="decimal"/>
      <w:lvlText w:val="%1."/>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FE6065E0">
      <w:start w:val="1"/>
      <w:numFmt w:val="decimal"/>
      <w:lvlText w:val="%2."/>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2" w:tplc="CA16453A">
      <w:start w:val="1"/>
      <w:numFmt w:val="decimal"/>
      <w:lvlText w:val="%3."/>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3" w:tplc="1936AB32">
      <w:start w:val="1"/>
      <w:numFmt w:val="decimal"/>
      <w:lvlText w:val="%4."/>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4" w:tplc="3306CB90">
      <w:start w:val="1"/>
      <w:numFmt w:val="decimal"/>
      <w:lvlText w:val="%5."/>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5" w:tplc="F744AAB8">
      <w:start w:val="1"/>
      <w:numFmt w:val="decimal"/>
      <w:lvlText w:val="%6."/>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6" w:tplc="EFA42ECC">
      <w:start w:val="1"/>
      <w:numFmt w:val="decimal"/>
      <w:lvlText w:val="%7."/>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7" w:tplc="B59CC718">
      <w:start w:val="1"/>
      <w:numFmt w:val="decimal"/>
      <w:lvlText w:val="%8."/>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8" w:tplc="92B49E14">
      <w:start w:val="1"/>
      <w:numFmt w:val="decimal"/>
      <w:lvlText w:val="%9."/>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647005"/>
    <w:multiLevelType w:val="hybridMultilevel"/>
    <w:tmpl w:val="93E6624C"/>
    <w:styleLink w:val="Maddeareti"/>
    <w:lvl w:ilvl="0" w:tplc="81D2BE58">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D2E6397E">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031233E4">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3B0207DE">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3028D974">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C630C650">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856CE584">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A07A1376">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E73207F2">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num w:numId="1" w16cid:durableId="379325723">
    <w:abstractNumId w:val="1"/>
  </w:num>
  <w:num w:numId="2" w16cid:durableId="2126263220">
    <w:abstractNumId w:val="2"/>
  </w:num>
  <w:num w:numId="3" w16cid:durableId="7403705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24059"/>
    <w:rsid w:val="00031ADB"/>
    <w:rsid w:val="00037FAE"/>
    <w:rsid w:val="0004615F"/>
    <w:rsid w:val="00064C2A"/>
    <w:rsid w:val="00095836"/>
    <w:rsid w:val="00096D24"/>
    <w:rsid w:val="000B276C"/>
    <w:rsid w:val="000B40C9"/>
    <w:rsid w:val="000C21CB"/>
    <w:rsid w:val="000C2595"/>
    <w:rsid w:val="000E5231"/>
    <w:rsid w:val="0010144F"/>
    <w:rsid w:val="00111FB2"/>
    <w:rsid w:val="00125D85"/>
    <w:rsid w:val="00130166"/>
    <w:rsid w:val="001422AE"/>
    <w:rsid w:val="001450CE"/>
    <w:rsid w:val="001636BD"/>
    <w:rsid w:val="0016373F"/>
    <w:rsid w:val="001775AA"/>
    <w:rsid w:val="00180C72"/>
    <w:rsid w:val="00182204"/>
    <w:rsid w:val="001A2010"/>
    <w:rsid w:val="001B6FF6"/>
    <w:rsid w:val="001B7AB7"/>
    <w:rsid w:val="001D4C1F"/>
    <w:rsid w:val="001E3864"/>
    <w:rsid w:val="001F2107"/>
    <w:rsid w:val="00203B7C"/>
    <w:rsid w:val="00225877"/>
    <w:rsid w:val="00235C6E"/>
    <w:rsid w:val="00235F39"/>
    <w:rsid w:val="00267DE1"/>
    <w:rsid w:val="0027275A"/>
    <w:rsid w:val="00272C62"/>
    <w:rsid w:val="00276D63"/>
    <w:rsid w:val="0028241B"/>
    <w:rsid w:val="00282888"/>
    <w:rsid w:val="00286D91"/>
    <w:rsid w:val="002B0FBE"/>
    <w:rsid w:val="002B3754"/>
    <w:rsid w:val="002B6855"/>
    <w:rsid w:val="002C4210"/>
    <w:rsid w:val="002C5113"/>
    <w:rsid w:val="002C5C47"/>
    <w:rsid w:val="002C6CCF"/>
    <w:rsid w:val="002D23AE"/>
    <w:rsid w:val="002D2B64"/>
    <w:rsid w:val="002D4FEE"/>
    <w:rsid w:val="002D5BF1"/>
    <w:rsid w:val="002E0CBD"/>
    <w:rsid w:val="002E3817"/>
    <w:rsid w:val="002F0445"/>
    <w:rsid w:val="002F4DC6"/>
    <w:rsid w:val="002F578E"/>
    <w:rsid w:val="00304279"/>
    <w:rsid w:val="003157E7"/>
    <w:rsid w:val="00321673"/>
    <w:rsid w:val="00326596"/>
    <w:rsid w:val="003267F0"/>
    <w:rsid w:val="00337313"/>
    <w:rsid w:val="0034727A"/>
    <w:rsid w:val="00357AEF"/>
    <w:rsid w:val="00362EA5"/>
    <w:rsid w:val="00367BB7"/>
    <w:rsid w:val="00367CE1"/>
    <w:rsid w:val="00374816"/>
    <w:rsid w:val="0037780E"/>
    <w:rsid w:val="00384F51"/>
    <w:rsid w:val="00393B90"/>
    <w:rsid w:val="003A337E"/>
    <w:rsid w:val="003A35C1"/>
    <w:rsid w:val="003A4579"/>
    <w:rsid w:val="003A6F6D"/>
    <w:rsid w:val="003B3524"/>
    <w:rsid w:val="003B3567"/>
    <w:rsid w:val="003B3BE0"/>
    <w:rsid w:val="003B4B6C"/>
    <w:rsid w:val="003C5B8F"/>
    <w:rsid w:val="003D4DCE"/>
    <w:rsid w:val="003D5E3A"/>
    <w:rsid w:val="003E3518"/>
    <w:rsid w:val="003F241E"/>
    <w:rsid w:val="00403546"/>
    <w:rsid w:val="0041546D"/>
    <w:rsid w:val="004168FE"/>
    <w:rsid w:val="00422799"/>
    <w:rsid w:val="00424D9E"/>
    <w:rsid w:val="00434CC9"/>
    <w:rsid w:val="00434D9F"/>
    <w:rsid w:val="004365B9"/>
    <w:rsid w:val="00445009"/>
    <w:rsid w:val="004579E8"/>
    <w:rsid w:val="004636D6"/>
    <w:rsid w:val="004657C6"/>
    <w:rsid w:val="00467773"/>
    <w:rsid w:val="004742ED"/>
    <w:rsid w:val="00485BF0"/>
    <w:rsid w:val="00487ECD"/>
    <w:rsid w:val="00495A30"/>
    <w:rsid w:val="004A2708"/>
    <w:rsid w:val="004B5A33"/>
    <w:rsid w:val="004C198C"/>
    <w:rsid w:val="004E482C"/>
    <w:rsid w:val="004F0D52"/>
    <w:rsid w:val="0050672E"/>
    <w:rsid w:val="00506FD1"/>
    <w:rsid w:val="00514ECE"/>
    <w:rsid w:val="005155F8"/>
    <w:rsid w:val="00540D56"/>
    <w:rsid w:val="00552EED"/>
    <w:rsid w:val="005552BF"/>
    <w:rsid w:val="00572EF6"/>
    <w:rsid w:val="00591C8F"/>
    <w:rsid w:val="005A7936"/>
    <w:rsid w:val="005B2092"/>
    <w:rsid w:val="005C5E22"/>
    <w:rsid w:val="005D1DA7"/>
    <w:rsid w:val="005E1576"/>
    <w:rsid w:val="005E211D"/>
    <w:rsid w:val="006010AA"/>
    <w:rsid w:val="00601137"/>
    <w:rsid w:val="0060493A"/>
    <w:rsid w:val="0062414F"/>
    <w:rsid w:val="00635F94"/>
    <w:rsid w:val="00636B46"/>
    <w:rsid w:val="0063740A"/>
    <w:rsid w:val="0064699C"/>
    <w:rsid w:val="006534C9"/>
    <w:rsid w:val="00653519"/>
    <w:rsid w:val="0065684D"/>
    <w:rsid w:val="0066685E"/>
    <w:rsid w:val="00667377"/>
    <w:rsid w:val="00671205"/>
    <w:rsid w:val="006736C5"/>
    <w:rsid w:val="00692C3E"/>
    <w:rsid w:val="006A4E55"/>
    <w:rsid w:val="006B09F7"/>
    <w:rsid w:val="006C5B91"/>
    <w:rsid w:val="006C633C"/>
    <w:rsid w:val="006D0F86"/>
    <w:rsid w:val="006D1236"/>
    <w:rsid w:val="006D45FF"/>
    <w:rsid w:val="006E364D"/>
    <w:rsid w:val="006F002F"/>
    <w:rsid w:val="006F3444"/>
    <w:rsid w:val="007002C2"/>
    <w:rsid w:val="007056E2"/>
    <w:rsid w:val="0071248E"/>
    <w:rsid w:val="00716B40"/>
    <w:rsid w:val="007206B0"/>
    <w:rsid w:val="00723B95"/>
    <w:rsid w:val="00736D21"/>
    <w:rsid w:val="00736EAE"/>
    <w:rsid w:val="007460F0"/>
    <w:rsid w:val="00747B69"/>
    <w:rsid w:val="0075140B"/>
    <w:rsid w:val="0075682C"/>
    <w:rsid w:val="00763742"/>
    <w:rsid w:val="0078119C"/>
    <w:rsid w:val="007849CA"/>
    <w:rsid w:val="007953FE"/>
    <w:rsid w:val="007975F4"/>
    <w:rsid w:val="007A6A76"/>
    <w:rsid w:val="007A6D00"/>
    <w:rsid w:val="007B2565"/>
    <w:rsid w:val="007C1E1B"/>
    <w:rsid w:val="007C2875"/>
    <w:rsid w:val="007C3BD7"/>
    <w:rsid w:val="007C52F1"/>
    <w:rsid w:val="007D5255"/>
    <w:rsid w:val="007D63DC"/>
    <w:rsid w:val="007E60AF"/>
    <w:rsid w:val="007E62E2"/>
    <w:rsid w:val="00805E37"/>
    <w:rsid w:val="008145C1"/>
    <w:rsid w:val="00821F3A"/>
    <w:rsid w:val="00827E02"/>
    <w:rsid w:val="008508BE"/>
    <w:rsid w:val="00854FCD"/>
    <w:rsid w:val="00855F07"/>
    <w:rsid w:val="0086578B"/>
    <w:rsid w:val="00867883"/>
    <w:rsid w:val="008820A6"/>
    <w:rsid w:val="00885231"/>
    <w:rsid w:val="00885650"/>
    <w:rsid w:val="008A39F1"/>
    <w:rsid w:val="008B3704"/>
    <w:rsid w:val="008B4CA0"/>
    <w:rsid w:val="008C4719"/>
    <w:rsid w:val="008D733B"/>
    <w:rsid w:val="008F6B77"/>
    <w:rsid w:val="00900870"/>
    <w:rsid w:val="009149E0"/>
    <w:rsid w:val="00917366"/>
    <w:rsid w:val="009237F0"/>
    <w:rsid w:val="00924829"/>
    <w:rsid w:val="00924F1C"/>
    <w:rsid w:val="009310A2"/>
    <w:rsid w:val="009314CD"/>
    <w:rsid w:val="00934DE9"/>
    <w:rsid w:val="009366DA"/>
    <w:rsid w:val="0094044B"/>
    <w:rsid w:val="00943E09"/>
    <w:rsid w:val="0095327C"/>
    <w:rsid w:val="009860CB"/>
    <w:rsid w:val="00994651"/>
    <w:rsid w:val="009964F0"/>
    <w:rsid w:val="009A26FE"/>
    <w:rsid w:val="009A2DCC"/>
    <w:rsid w:val="009B03EC"/>
    <w:rsid w:val="009B5D96"/>
    <w:rsid w:val="009B622C"/>
    <w:rsid w:val="009B68B7"/>
    <w:rsid w:val="009D7437"/>
    <w:rsid w:val="009E41E2"/>
    <w:rsid w:val="009F0E31"/>
    <w:rsid w:val="00A026C5"/>
    <w:rsid w:val="00A25464"/>
    <w:rsid w:val="00A27631"/>
    <w:rsid w:val="00A40EDA"/>
    <w:rsid w:val="00A41EC4"/>
    <w:rsid w:val="00A43F14"/>
    <w:rsid w:val="00A553BF"/>
    <w:rsid w:val="00A57F52"/>
    <w:rsid w:val="00A665B1"/>
    <w:rsid w:val="00A70659"/>
    <w:rsid w:val="00A73CE3"/>
    <w:rsid w:val="00A7797A"/>
    <w:rsid w:val="00A825B8"/>
    <w:rsid w:val="00A83AF4"/>
    <w:rsid w:val="00A87A54"/>
    <w:rsid w:val="00A91A30"/>
    <w:rsid w:val="00A94569"/>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37A3B"/>
    <w:rsid w:val="00B4580A"/>
    <w:rsid w:val="00B568C1"/>
    <w:rsid w:val="00B67F29"/>
    <w:rsid w:val="00B81D7D"/>
    <w:rsid w:val="00B87985"/>
    <w:rsid w:val="00BA1539"/>
    <w:rsid w:val="00BB1ECB"/>
    <w:rsid w:val="00BB47D5"/>
    <w:rsid w:val="00BC6A49"/>
    <w:rsid w:val="00BD3489"/>
    <w:rsid w:val="00BE0969"/>
    <w:rsid w:val="00BE377B"/>
    <w:rsid w:val="00BE43EA"/>
    <w:rsid w:val="00C04173"/>
    <w:rsid w:val="00C049A1"/>
    <w:rsid w:val="00C1057C"/>
    <w:rsid w:val="00C10B70"/>
    <w:rsid w:val="00C13645"/>
    <w:rsid w:val="00C26FA8"/>
    <w:rsid w:val="00C35AEC"/>
    <w:rsid w:val="00C448F7"/>
    <w:rsid w:val="00C4718E"/>
    <w:rsid w:val="00C6115D"/>
    <w:rsid w:val="00C673B6"/>
    <w:rsid w:val="00C82752"/>
    <w:rsid w:val="00C84D09"/>
    <w:rsid w:val="00C866BA"/>
    <w:rsid w:val="00C8777F"/>
    <w:rsid w:val="00C93A9A"/>
    <w:rsid w:val="00CB098F"/>
    <w:rsid w:val="00CB543D"/>
    <w:rsid w:val="00CB6671"/>
    <w:rsid w:val="00CD112F"/>
    <w:rsid w:val="00CD7497"/>
    <w:rsid w:val="00CE1B92"/>
    <w:rsid w:val="00CE43D2"/>
    <w:rsid w:val="00D06917"/>
    <w:rsid w:val="00D22228"/>
    <w:rsid w:val="00D23C43"/>
    <w:rsid w:val="00D251F0"/>
    <w:rsid w:val="00D36903"/>
    <w:rsid w:val="00D41928"/>
    <w:rsid w:val="00D52907"/>
    <w:rsid w:val="00D55348"/>
    <w:rsid w:val="00D65A7E"/>
    <w:rsid w:val="00D66D86"/>
    <w:rsid w:val="00D7020E"/>
    <w:rsid w:val="00D7189F"/>
    <w:rsid w:val="00DA0F70"/>
    <w:rsid w:val="00DB0540"/>
    <w:rsid w:val="00DC560F"/>
    <w:rsid w:val="00DC75DA"/>
    <w:rsid w:val="00DD09D6"/>
    <w:rsid w:val="00DD0CDE"/>
    <w:rsid w:val="00DD5ECF"/>
    <w:rsid w:val="00DF396C"/>
    <w:rsid w:val="00E0075E"/>
    <w:rsid w:val="00E073D5"/>
    <w:rsid w:val="00E1772E"/>
    <w:rsid w:val="00E30E12"/>
    <w:rsid w:val="00E44A21"/>
    <w:rsid w:val="00E5068C"/>
    <w:rsid w:val="00E52E86"/>
    <w:rsid w:val="00E60F19"/>
    <w:rsid w:val="00E644F9"/>
    <w:rsid w:val="00E7328C"/>
    <w:rsid w:val="00E73956"/>
    <w:rsid w:val="00E93D33"/>
    <w:rsid w:val="00E9598B"/>
    <w:rsid w:val="00EB18A1"/>
    <w:rsid w:val="00EC013C"/>
    <w:rsid w:val="00ED31CB"/>
    <w:rsid w:val="00ED3455"/>
    <w:rsid w:val="00EE506F"/>
    <w:rsid w:val="00EF1D5C"/>
    <w:rsid w:val="00EF4BC3"/>
    <w:rsid w:val="00F14CC4"/>
    <w:rsid w:val="00F3028F"/>
    <w:rsid w:val="00F30556"/>
    <w:rsid w:val="00F4337D"/>
    <w:rsid w:val="00F43EC4"/>
    <w:rsid w:val="00F54792"/>
    <w:rsid w:val="00F67FBD"/>
    <w:rsid w:val="00F75D31"/>
    <w:rsid w:val="00F7784B"/>
    <w:rsid w:val="00F81C5F"/>
    <w:rsid w:val="00F8455D"/>
    <w:rsid w:val="00F95584"/>
    <w:rsid w:val="00FA108B"/>
    <w:rsid w:val="00FA1580"/>
    <w:rsid w:val="00FA6608"/>
    <w:rsid w:val="00FC03F9"/>
    <w:rsid w:val="00FC25B7"/>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paragraph" w:customStyle="1" w:styleId="Saptanm">
    <w:name w:val="Saptanmış"/>
    <w:rsid w:val="00F14CC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tr-TR"/>
      <w14:textOutline w14:w="0" w14:cap="flat" w14:cmpd="sng" w14:algn="ctr">
        <w14:noFill/>
        <w14:prstDash w14:val="solid"/>
        <w14:bevel/>
      </w14:textOutline>
    </w:rPr>
  </w:style>
  <w:style w:type="numbering" w:customStyle="1" w:styleId="Maddeareti">
    <w:name w:val="Madde İşareti"/>
    <w:rsid w:val="00DD5ECF"/>
    <w:pPr>
      <w:numPr>
        <w:numId w:val="2"/>
      </w:numPr>
    </w:pPr>
  </w:style>
  <w:style w:type="paragraph" w:customStyle="1" w:styleId="p2">
    <w:name w:val="p2"/>
    <w:basedOn w:val="Normal"/>
    <w:rsid w:val="004365B9"/>
    <w:pPr>
      <w:tabs>
        <w:tab w:val="clear" w:pos="4536"/>
      </w:tabs>
      <w:spacing w:after="0"/>
      <w:jc w:val="left"/>
    </w:pPr>
    <w:rPr>
      <w:rFonts w:ascii="Times" w:eastAsia="Times New Roman" w:hAnsi="Times"/>
      <w:color w:val="000000"/>
      <w:sz w:val="18"/>
      <w:szCs w:val="18"/>
      <w:lang w:eastAsia="tr-TR"/>
    </w:rPr>
  </w:style>
  <w:style w:type="table" w:customStyle="1" w:styleId="TableNormal">
    <w:name w:val="Table Normal"/>
    <w:rsid w:val="003B352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TabloStili2">
    <w:name w:val="Tablo Stili 2"/>
    <w:rsid w:val="003B3524"/>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tr-TR"/>
      <w14:textOutline w14:w="0" w14:cap="flat" w14:cmpd="sng" w14:algn="ctr">
        <w14:noFill/>
        <w14:prstDash w14:val="solid"/>
        <w14:bevel/>
      </w14:textOutline>
    </w:rPr>
  </w:style>
  <w:style w:type="numbering" w:customStyle="1" w:styleId="Numaral">
    <w:name w:val="Numaralı"/>
    <w:rsid w:val="00E60F1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22199858">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61781358">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57161460">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8942559">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701</Words>
  <Characters>4001</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18</cp:revision>
  <cp:lastPrinted>2025-04-08T23:39:00Z</cp:lastPrinted>
  <dcterms:created xsi:type="dcterms:W3CDTF">2025-05-21T10:02:00Z</dcterms:created>
  <dcterms:modified xsi:type="dcterms:W3CDTF">2025-07-02T11:34:00Z</dcterms:modified>
</cp:coreProperties>
</file>